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lef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семинара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Костанай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17октября</w:t>
      </w:r>
      <w:r>
        <w:rPr>
          <w:rFonts w:ascii="Times New Roman" w:hAnsi="Times New Roman" w:cs="Times New Roman"/>
          <w:sz w:val="28"/>
          <w:szCs w:val="28"/>
        </w:rPr>
        <w:t xml:space="preserve"> 2025 года.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/>
        <w:jc w:val="both"/>
        <w:outlineLvl w:val="2"/>
        <w:rPr>
          <w:rFonts w:ascii="Times New Roman" w:hAnsi="Times New Roman" w:eastAsia="Times New Roman" w:cs="Times New Roman"/>
          <w:b/>
          <w:color w:val="1e1e1e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Присутствовали</w:t>
      </w:r>
      <w:r>
        <w:rPr>
          <w:rFonts w:ascii="Times New Roman" w:hAnsi="Times New Roman" w:cs="Times New Roman"/>
          <w:sz w:val="28"/>
          <w:szCs w:val="28"/>
        </w:rPr>
        <w:t xml:space="preserve">: руководители и работники структурных подразделений 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b w:val="0"/>
          <w:bCs w:val="0"/>
          <w:color w:val="1e1e1e"/>
          <w:sz w:val="28"/>
          <w:szCs w:val="28"/>
          <w:lang w:eastAsia="ru-RU"/>
        </w:rPr>
        <w:t xml:space="preserve">КГП «Костанайский областной центр </w:t>
      </w:r>
      <w:r>
        <w:rPr>
          <w:rFonts w:ascii="Times New Roman" w:hAnsi="Times New Roman" w:eastAsia="Times New Roman" w:cs="Times New Roman"/>
          <w:b w:val="0"/>
          <w:bCs w:val="0"/>
          <w:color w:val="1e1e1e"/>
          <w:sz w:val="28"/>
          <w:szCs w:val="28"/>
          <w:lang w:eastAsia="ru-RU"/>
        </w:rPr>
        <w:t xml:space="preserve">по профилактике и борьбе со СПИД»</w:t>
      </w:r>
      <w:r>
        <w:rPr>
          <w:rFonts w:ascii="Times New Roman" w:hAnsi="Times New Roman" w:eastAsia="Times New Roman" w:cs="Times New Roman"/>
          <w:b w:val="0"/>
          <w:bCs w:val="0"/>
          <w:color w:val="1e1e1e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color w:val="1e1e1e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1e1e1e"/>
          <w:sz w:val="28"/>
          <w:szCs w:val="28"/>
          <w:lang w:eastAsia="ru-RU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/>
        <w:jc w:val="both"/>
        <w:outlineLvl w:val="2"/>
        <w:rPr>
          <w:rFonts w:ascii="Times New Roman" w:hAnsi="Times New Roman" w:eastAsia="Times New Roman" w:cs="Times New Roman"/>
          <w:b w:val="0"/>
          <w:bCs w:val="0"/>
          <w:color w:val="1e1e1e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Повестка дня: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Проведение обучения среди работников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</w:rPr>
      </w:r>
      <w:bookmarkStart w:id="0" w:name="_GoBack"/>
      <w:r>
        <w:rPr>
          <w:b w:val="0"/>
          <w:bCs w:val="0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1e1e1e"/>
          <w:sz w:val="28"/>
          <w:szCs w:val="28"/>
          <w:lang w:eastAsia="ru-RU"/>
        </w:rPr>
        <w:t xml:space="preserve">КГП «Костанайский областной центр </w:t>
      </w:r>
      <w:r>
        <w:rPr>
          <w:rFonts w:ascii="Times New Roman" w:hAnsi="Times New Roman" w:eastAsia="Times New Roman" w:cs="Times New Roman"/>
          <w:b w:val="0"/>
          <w:bCs w:val="0"/>
          <w:color w:val="1e1e1e"/>
          <w:sz w:val="28"/>
          <w:szCs w:val="28"/>
          <w:lang w:eastAsia="ru-RU"/>
        </w:rPr>
        <w:t xml:space="preserve">по профилактике и борьбе со СПИД»</w:t>
      </w:r>
      <w:r>
        <w:rPr>
          <w:rFonts w:ascii="Times New Roman" w:hAnsi="Times New Roman" w:eastAsia="Times New Roman" w:cs="Times New Roman"/>
          <w:b w:val="0"/>
          <w:bCs w:val="0"/>
          <w:color w:val="1e1e1e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1e1e1e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1e1e1e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проведения: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08 часов 30 минут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 проведения: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09 часов 00 минут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Тайна медицинского работника -  </w:t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  <w:t xml:space="preserve">особенности, разглашение, ответственность</w:t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</w:t>
      </w:r>
      <w:r>
        <w:rPr>
          <w:rFonts w:ascii="Times New Roman" w:hAnsi="Times New Roman" w:cs="Times New Roman"/>
          <w:sz w:val="28"/>
          <w:szCs w:val="28"/>
        </w:rPr>
        <w:t xml:space="preserve"> Вовлечение ра</w:t>
      </w:r>
      <w:r>
        <w:rPr>
          <w:rFonts w:ascii="Times New Roman" w:hAnsi="Times New Roman" w:cs="Times New Roman"/>
          <w:sz w:val="28"/>
          <w:szCs w:val="28"/>
        </w:rPr>
        <w:t xml:space="preserve">ботников Предприятия как членов </w:t>
      </w:r>
      <w:r>
        <w:rPr>
          <w:rFonts w:ascii="Times New Roman" w:hAnsi="Times New Roman" w:cs="Times New Roman"/>
          <w:sz w:val="28"/>
          <w:szCs w:val="28"/>
        </w:rPr>
        <w:t xml:space="preserve">квазигосударственного сектора и общественности в орбиту противодействия коррупции.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/>
        <w:ind w:right="0" w:firstLine="0" w:left="0"/>
        <w:jc w:val="both"/>
        <w:rPr>
          <w:rFonts w:ascii="Times New Roman" w:hAnsi="Times New Roman" w:cs="Times New Roman"/>
          <w:color w:val="2b2b2b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none"/>
        </w:rPr>
        <w:tab/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  <w:t xml:space="preserve">Врачебная тайна – это запрет на разглашение медицинских сведений о состоянии пациента, в том числе личных данных, без согласия на то самого пациента. Частная жизнь человека защищена законом и свободна от чрезмерного вмешательства государства и сторонних ли</w:t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  <w:t xml:space="preserve">ц, не имеющих на это разрешение.</w:t>
      </w:r>
      <w:r>
        <w:rPr>
          <w:rFonts w:ascii="Times New Roman" w:hAnsi="Times New Roman" w:cs="Times New Roman"/>
          <w:color w:val="2b2b2b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2b2b2b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/>
        <w:ind w:right="0" w:firstLine="708" w:left="0"/>
        <w:jc w:val="both"/>
        <w:rPr>
          <w:rFonts w:ascii="Times New Roman" w:hAnsi="Times New Roman" w:cs="Times New Roman"/>
          <w:color w:val="2b2b2b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  <w:t xml:space="preserve">Состояние здоровья пациента, медицинские диагнозы и иные сведения, полученные при медицинском обследовании и лечении, являются неприкосновенными и составляют врачебную тайну. Закон требует хранить врачебную тайну при обследовании и/или лечении, а та</w:t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  <w:t xml:space="preserve">кже при обращении за медицинской помощью – при приеме и осмотре.</w:t>
      </w:r>
      <w:r>
        <w:rPr>
          <w:rFonts w:ascii="Times New Roman" w:hAnsi="Times New Roman" w:cs="Times New Roman"/>
          <w:color w:val="2b2b2b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2b2b2b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/>
        <w:ind w:right="0" w:firstLine="708" w:left="0"/>
        <w:jc w:val="both"/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  <w:t xml:space="preserve">Сведения, составляющие врачебную тайну:</w:t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</w:r>
    </w:p>
    <w:p>
      <w:pPr>
        <w:pStyle w:val="912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/>
        <w:ind w:right="0" w:hanging="360" w:left="709"/>
        <w:jc w:val="both"/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  <w:t xml:space="preserve">факт обращения человека в медицинское учреждение за лечебно-профилактической помощью,</w:t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  <w:t xml:space="preserve">состояние здоровья и диагноз, </w:t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  <w:t xml:space="preserve">результаты лечения;</w:t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</w:r>
    </w:p>
    <w:p>
      <w:pPr>
        <w:pStyle w:val="912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/>
        <w:ind w:right="0" w:hanging="360" w:left="709"/>
        <w:jc w:val="both"/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  <w:t xml:space="preserve"> наличие психических расстройств, факт обращения за психиатрической помощью, </w:t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  <w:t xml:space="preserve">наим</w:t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  <w:t xml:space="preserve">енование медицинской организации, оказывающей психиатрическую помощь; </w:t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</w:r>
    </w:p>
    <w:p>
      <w:pPr>
        <w:pStyle w:val="912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/>
        <w:ind w:right="0" w:hanging="360" w:left="709"/>
        <w:jc w:val="both"/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  <w:t xml:space="preserve">в тайне сохраняются результаты медицинского обследования лиц, вступающих в брачные отношения; </w:t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</w:r>
    </w:p>
    <w:p>
      <w:pPr>
        <w:pStyle w:val="912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/>
        <w:ind w:right="0" w:hanging="360" w:left="709"/>
        <w:jc w:val="both"/>
        <w:rPr>
          <w:rFonts w:ascii="Times New Roman" w:hAnsi="Times New Roman" w:cs="Times New Roman"/>
          <w:color w:val="2b2b2b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  <w:t xml:space="preserve">сведения о факте усыновления или удочерения ребенка.</w:t>
      </w:r>
      <w:r>
        <w:rPr>
          <w:rFonts w:ascii="Times New Roman" w:hAnsi="Times New Roman" w:cs="Times New Roman"/>
          <w:color w:val="2b2b2b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2b2b2b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/>
        <w:ind w:right="0" w:firstLine="0" w:left="709"/>
        <w:jc w:val="both"/>
        <w:rPr>
          <w:rFonts w:ascii="Times New Roman" w:hAnsi="Times New Roman" w:cs="Times New Roman"/>
          <w:color w:val="2b2b2b"/>
          <w:sz w:val="28"/>
          <w:szCs w:val="28"/>
          <w:highlight w:val="none"/>
        </w:rPr>
      </w:pPr>
      <w:r>
        <w:rPr>
          <w:highlight w:val="none"/>
        </w:rPr>
      </w:r>
      <w:r>
        <w:rPr>
          <w:rFonts w:ascii="Times New Roman" w:hAnsi="Times New Roman" w:cs="Times New Roman"/>
          <w:color w:val="2b2b2b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2b2b2b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708" w:left="0"/>
        <w:jc w:val="both"/>
        <w:rPr>
          <w:rFonts w:ascii="Times New Roman" w:hAnsi="Times New Roman" w:cs="Times New Roman"/>
          <w:color w:val="2b2b2b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2b2b2b"/>
          <w:sz w:val="28"/>
          <w:szCs w:val="28"/>
          <w:highlight w:val="white"/>
        </w:rPr>
        <w:t xml:space="preserve">В каких случаях возможно разглашение медицинской тайны. </w:t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  <w:t xml:space="preserve">Разглашение врачебной тайны без согласия пациента или его законного представителя возможно в случаях: в целях обследования и лечения гражданина, не способного из-за своего состояния выразить свою волю,</w:t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  <w:t xml:space="preserve"> в случае отсутствия законного представителя; при угрозе распространения заболеваний, представляющих опасность для окружающих, в том числе при донорстве крови, ее компонентов, трансплантации органов (части органа) и (или) тканей (части ткани); по запросу о</w:t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  <w:t xml:space="preserve">рганов дознания и предварительного следствия, прокурора, адвоката и (или) суда в связи с проведением расследования или судебного разбирательства;   при медицинской помощи несовершеннолетним или недееспособным лицам для передачи информации их законным предс</w:t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  <w:t xml:space="preserve">тавителям; при наличии оснований полагать, что вред здоровью гражданина Республики Казахстан причинен в результате противоправных деяний; при обнаружении у лица психических отклонений и склонностей к сексуальному насилию; при проведении государственного ко</w:t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  <w:t xml:space="preserve">нтроля качества оказания медицинских услуг (помощи), мониторинга договорных обязательств по качеству и объему медицинских услуг; при проведении проверок органами прокуратуры в порядке, установленном Законом Республики Казахстан "О прокуратуре"; по запросу </w:t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  <w:t xml:space="preserve">специальных государственных органов в целях решения задач контрразведывательной деятельности.</w:t>
      </w:r>
      <w:r>
        <w:rPr>
          <w:rFonts w:ascii="Times New Roman" w:hAnsi="Times New Roman" w:cs="Times New Roman"/>
          <w:color w:val="2b2b2b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2b2b2b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jc w:val="center"/>
        <w:rPr>
          <w:rFonts w:ascii="Times New Roman" w:hAnsi="Times New Roman" w:cs="Times New Roman"/>
          <w:b/>
          <w:bCs/>
          <w:color w:val="2b2b2b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2b2b2b"/>
          <w:sz w:val="28"/>
          <w:szCs w:val="28"/>
          <w:highlight w:val="white"/>
        </w:rPr>
        <w:t xml:space="preserve">Разглашение врачебной тайны с согласия пациента.</w:t>
      </w:r>
      <w:r>
        <w:rPr>
          <w:rFonts w:ascii="Times New Roman" w:hAnsi="Times New Roman" w:cs="Times New Roman"/>
          <w:b/>
          <w:bCs/>
          <w:color w:val="2b2b2b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2b2b2b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/>
        <w:ind w:right="0" w:firstLine="708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2b2b2b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  <w:t xml:space="preserve"> Разглашение персональных медицинских сведений, составляющих тайну медицинского работника, для проведения научных исследований, использования этих сведений в учебном процессе допускается с информированного сог</w:t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  <w:t xml:space="preserve">асия пациента или его законного представителя. </w:t>
        <w:tab/>
        <w:t xml:space="preserve">Согласие пациента на предоставление о нем сведений, составляющих тайну медработника, третьему лицу может быть выражено различными документами, среди них: письменное заявление пациента при поступлении в медици</w:t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  <w:t xml:space="preserve">нское учреждение, договор на оказание платных медицинских услуг, доверенность.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/>
        <w:ind w:right="0" w:firstLine="708" w:left="0"/>
        <w:jc w:val="both"/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  <w:t xml:space="preserve">При работе с указанными документами нужно указать:</w:t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</w:r>
    </w:p>
    <w:p>
      <w:pPr>
        <w:pStyle w:val="912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/>
        <w:ind w:right="0" w:hanging="360" w:left="709"/>
        <w:jc w:val="both"/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  <w:t xml:space="preserve">полные данные пациента (Ф.И.О., дата рождения, ИИН);</w:t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</w:r>
    </w:p>
    <w:p>
      <w:pPr>
        <w:pStyle w:val="912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/>
        <w:ind w:right="0" w:firstLine="283" w:left="0"/>
        <w:jc w:val="both"/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  <w:t xml:space="preserve">ица, которому могут быть предоставлены сведения (Ф.И.О., ИИН);</w:t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</w:r>
    </w:p>
    <w:p>
      <w:pPr>
        <w:pStyle w:val="912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/>
        <w:ind w:right="0" w:firstLine="283" w:left="0"/>
        <w:jc w:val="both"/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  <w:t xml:space="preserve"> объем предоставляемых сведений.</w:t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/>
        <w:ind w:right="0" w:firstLine="425" w:left="283"/>
        <w:jc w:val="both"/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  <w:t xml:space="preserve"> Такие документы пациент должен подписать лично. </w:t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/>
        <w:ind w:right="0" w:firstLine="425" w:left="283"/>
        <w:jc w:val="both"/>
        <w:rPr>
          <w:rFonts w:ascii="Times New Roman" w:hAnsi="Times New Roman" w:eastAsia="Times New Roman" w:cs="Times New Roman"/>
          <w:color w:val="2b2b2b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none"/>
        </w:rPr>
        <w:t xml:space="preserve">  </w:t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  <w:t xml:space="preserve">Отдельно</w:t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  <w:t xml:space="preserve">е внимание необходимо уделить составлению доверенности. Доверенность от пациента должна быть нотариально заверенной. Обязательно обратите внимание на срок действия данной доверенности, который указывают в ней же. Если срок действия в данном документе не ук</w:t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  <w:t xml:space="preserve">азан, она действует один год со дня ее выдачи. В ней должно быть указано, что доверенное лицо имеет право получать сведения, составляющие тайну медицинского работника.  Доверенность, в которой не указана дата ее выдачи, является ничтожной. Одним из лиц, им</w:t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  <w:t xml:space="preserve">еющих право на получение по запросу сведений, составляющих тайну медработника без согласия пациента, является адвокат. Деятельность адвоката регулирует Закон «Об адвокатской деятельности и юридической помощи» (далее – Закон). Не любой адвокат имеет право н</w:t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  <w:t xml:space="preserve">а получение сведений, составляющих тайну медработника. Полномочия адвоката на ведение конкретного дела подтверждаются удостоверением адвоката и письменным уведомлением о защите (ст. 46 Закона). Если вам поступил запрос от адвоката, к этому запросу должны б</w:t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  <w:t xml:space="preserve">ыть приложены копия удостоверения адвоката и уведомление о защите.</w:t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/>
        <w:ind w:right="0" w:firstLine="425" w:left="283"/>
        <w:jc w:val="both"/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/>
        <w:ind w:right="0" w:firstLine="425" w:left="283"/>
        <w:jc w:val="center"/>
        <w:rPr>
          <w:rFonts w:ascii="Times New Roman" w:hAnsi="Times New Roman" w:eastAsia="Times New Roman" w:cs="Times New Roman"/>
          <w:b/>
          <w:bCs/>
          <w:color w:val="2b2b2b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2b2b2b"/>
          <w:sz w:val="28"/>
          <w:szCs w:val="28"/>
          <w:highlight w:val="white"/>
        </w:rPr>
        <w:t xml:space="preserve"> Ответственность за разглашение врачебной тайны.</w:t>
      </w:r>
      <w:r>
        <w:rPr>
          <w:rFonts w:ascii="Times New Roman" w:hAnsi="Times New Roman" w:eastAsia="Times New Roman" w:cs="Times New Roman"/>
          <w:b/>
          <w:bCs/>
          <w:color w:val="2b2b2b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2b2b2b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/>
        <w:ind w:right="0" w:firstLine="425" w:left="283"/>
        <w:jc w:val="both"/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  <w:t xml:space="preserve"> Нарушение врачебной тайны в РК медицинским работником влечет за собой наказание в виде: дисциплинарной ответственности; административной ответ</w:t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  <w:t xml:space="preserve">ственности; гражданской ответственности; уголовной ответственности. </w:t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/>
        <w:ind w:right="0" w:firstLine="425" w:left="283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  <w:t xml:space="preserve">ак, к примеру, устанавливать видеокамеры в кабинете врача необходимо только при условии, что соблюдено законодательство о персональных данных и о врачебной тайне. В противном случае, если</w:t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  <w:t xml:space="preserve"> пациент пожалуется и придет прокурорская проверка, руководителю грозит ответственность: административная по статье 79 Кодекса Республики Казахстан об административных правонарушениях (нарушение законодательства Республики Казахстан о персональных данных и</w:t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  <w:t xml:space="preserve"> их защите). уголовная по статье 147 Уголовного Кодекса Республики Казахстан (нарушение неприкосновенности частной жизни и законодательства Республики Казахстан о персональных данных и их защите).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jc w:val="both"/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2b2b2b"/>
          <w:sz w:val="28"/>
          <w:szCs w:val="28"/>
          <w:highlight w:val="white"/>
        </w:rPr>
        <w:t xml:space="preserve">Заключение</w:t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708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  <w:t xml:space="preserve"> Врачебная тайна – это обязательное правило этики в медицинской практике. Врачебная тайна – важнейший элемент доверительных отношений между медицинским работником и пациентом. Соблюдение конфиденциальности медицинской информации не только укрепля</w:t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  <w:t xml:space="preserve">ет этические нормы в медицинской практике, но и гарантирует защиту прав пациента. Нарушение этого принципа может повлечь за собой юридические последствия, что подчеркивает значимость строгого соблюдения врачебной тайны. Для медицинских работников важно пом</w:t>
      </w:r>
      <w:r>
        <w:rPr>
          <w:rFonts w:ascii="Times New Roman" w:hAnsi="Times New Roman" w:eastAsia="Times New Roman" w:cs="Times New Roman"/>
          <w:color w:val="2b2b2b"/>
          <w:sz w:val="28"/>
          <w:szCs w:val="28"/>
          <w:highlight w:val="white"/>
        </w:rPr>
        <w:t xml:space="preserve">нить о своей ответственности и соблюдать нормы закона, обеспечивая безопасность и доверие пациентов.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/>
        <w:ind w:right="0" w:firstLine="0" w:left="0"/>
        <w:rPr>
          <w:rFonts w:ascii="PT Sans" w:hAnsi="PT Sans" w:eastAsia="PT Sans" w:cs="PT Sans"/>
          <w:sz w:val="24"/>
          <w:szCs w:val="24"/>
        </w:rPr>
      </w:pPr>
      <w:r>
        <w:rPr>
          <w:rFonts w:ascii="PT Sans" w:hAnsi="PT Sans" w:eastAsia="PT Sans" w:cs="PT Sans"/>
          <w:sz w:val="24"/>
          <w:szCs w:val="24"/>
        </w:rPr>
      </w:r>
      <w:r>
        <w:rPr>
          <w:rFonts w:ascii="PT Sans" w:hAnsi="PT Sans" w:eastAsia="PT Sans" w:cs="PT Sans"/>
          <w:sz w:val="24"/>
          <w:szCs w:val="24"/>
        </w:rPr>
      </w:r>
      <w:r>
        <w:rPr>
          <w:rFonts w:ascii="PT Sans" w:hAnsi="PT Sans" w:eastAsia="PT Sans" w:cs="PT Sans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Комплаенс - офицер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Ермакова С.Ф.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PT Sans">
    <w:panose1 w:val="020B0503020204020204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2531D"/>
    <w:lvl w:ilvl="0">
      <w:isLgl w:val="false"/>
      <w:lvlJc w:val="left"/>
      <w:lvlText w:val="%1."/>
      <w:numFmt w:val="decimal"/>
      <w:pPr>
        <w:pBdr/>
        <w:spacing/>
        <w:ind w:left="7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start w:val="4"/>
      <w:suff w:val="tab"/>
    </w:lvl>
    <w:lvl w:ilvl="1">
      <w:isLgl w:val="false"/>
      <w:lvlJc w:val="left"/>
      <w:lvlText w:val="%2"/>
      <w:numFmt w:val="lowerLetter"/>
      <w:pPr>
        <w:pBdr/>
        <w:spacing/>
        <w:ind w:left="190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262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334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406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478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550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622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694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start w:val="1"/>
      <w:suff w:val="tab"/>
    </w:lvl>
  </w:abstractNum>
  <w:abstractNum w:abstractNumId="1">
    <w:nsid w:val="06FF1A78"/>
    <w:lvl w:ilvl="0">
      <w:isLgl w:val="false"/>
      <w:lvlJc w:val="left"/>
      <w:lvlText w:val="%1."/>
      <w:numFmt w:val="decimal"/>
      <w:pPr>
        <w:pBdr/>
        <w:spacing/>
        <w:ind w:left="73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155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227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299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371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443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515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87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659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  <w:start w:val="1"/>
      <w:suff w:val="tab"/>
    </w:lvl>
  </w:abstractNum>
  <w:abstractNum w:abstractNumId="2">
    <w:nsid w:val="15226B8A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3">
    <w:nsid w:val="18C73BB6"/>
    <w:lvl w:ilvl="0">
      <w:isLgl w:val="false"/>
      <w:lvlJc w:val="left"/>
      <w:lvlText w:val="%1."/>
      <w:numFmt w:val="decimal"/>
      <w:pPr>
        <w:pBdr/>
        <w:spacing/>
        <w:ind w:left="1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193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265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337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409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481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553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625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697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  <w:start w:val="1"/>
      <w:suff w:val="tab"/>
    </w:lvl>
  </w:abstractNum>
  <w:abstractNum w:abstractNumId="4">
    <w:nsid w:val="6C083E3D"/>
    <w:lvl w:ilvl="0">
      <w:isLgl w:val="false"/>
      <w:lvlJc w:val="left"/>
      <w:lvlText w:val="%1."/>
      <w:numFmt w:val="decimal"/>
      <w:pPr>
        <w:pBdr/>
        <w:spacing/>
        <w:ind w:left="73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156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228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300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372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444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516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88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660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start w:val="1"/>
      <w:suff w:val="tab"/>
    </w:lvl>
  </w:abstractNum>
  <w:abstractNum w:abstractNumId="5">
    <w:nsid w:val="76277599"/>
    <w:lvl w:ilvl="0">
      <w:isLgl w:val="false"/>
      <w:lvlJc w:val="left"/>
      <w:lvlText w:val="%1."/>
      <w:numFmt w:val="decimal"/>
      <w:pPr>
        <w:pBdr/>
        <w:spacing/>
        <w:ind w:left="72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154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226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298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370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442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514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86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658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  <w:start w:val="1"/>
      <w:suff w:val="tab"/>
    </w:lvl>
  </w:abstractNum>
  <w:abstractNum w:abstractNumId="6">
    <w:nsid w:val="5E1C7720"/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nsid w:val="0DDE24B1"/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nsid w:val="6785A768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nsid w:val="4F1EBB4A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1">
    <w:name w:val="Table Grid"/>
    <w:basedOn w:val="9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Table Grid Light"/>
    <w:basedOn w:val="9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9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9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ned - Accent 1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ned - Accent 2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ned - Accent 3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ned - Accent 4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ned - Accent 5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 6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&amp; Lined - Accent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&amp; Lined - Accent 1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&amp; Lined - Accent 2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 3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&amp; Lined - Accent 4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 5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 6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7">
    <w:name w:val="Heading 1"/>
    <w:basedOn w:val="906"/>
    <w:next w:val="906"/>
    <w:link w:val="85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48">
    <w:name w:val="Heading 2"/>
    <w:basedOn w:val="906"/>
    <w:next w:val="906"/>
    <w:link w:val="85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49">
    <w:name w:val="Heading 3"/>
    <w:basedOn w:val="906"/>
    <w:next w:val="906"/>
    <w:link w:val="85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0">
    <w:name w:val="Heading 4"/>
    <w:basedOn w:val="906"/>
    <w:next w:val="906"/>
    <w:link w:val="85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1">
    <w:name w:val="Heading 5"/>
    <w:basedOn w:val="906"/>
    <w:next w:val="906"/>
    <w:link w:val="86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52">
    <w:name w:val="Heading 6"/>
    <w:basedOn w:val="906"/>
    <w:next w:val="906"/>
    <w:link w:val="86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53">
    <w:name w:val="Heading 7"/>
    <w:basedOn w:val="906"/>
    <w:next w:val="906"/>
    <w:link w:val="86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4">
    <w:name w:val="Heading 8"/>
    <w:basedOn w:val="906"/>
    <w:next w:val="906"/>
    <w:link w:val="86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5">
    <w:name w:val="Heading 9"/>
    <w:basedOn w:val="906"/>
    <w:next w:val="906"/>
    <w:link w:val="86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56">
    <w:name w:val="Heading 1 Char"/>
    <w:basedOn w:val="907"/>
    <w:link w:val="84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7">
    <w:name w:val="Heading 2 Char"/>
    <w:basedOn w:val="907"/>
    <w:link w:val="84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8">
    <w:name w:val="Heading 3 Char"/>
    <w:basedOn w:val="907"/>
    <w:link w:val="84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9">
    <w:name w:val="Heading 4 Char"/>
    <w:basedOn w:val="907"/>
    <w:link w:val="85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0">
    <w:name w:val="Heading 5 Char"/>
    <w:basedOn w:val="907"/>
    <w:link w:val="8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1">
    <w:name w:val="Heading 6 Char"/>
    <w:basedOn w:val="907"/>
    <w:link w:val="85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2">
    <w:name w:val="Heading 7 Char"/>
    <w:basedOn w:val="907"/>
    <w:link w:val="85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3">
    <w:name w:val="Heading 8 Char"/>
    <w:basedOn w:val="907"/>
    <w:link w:val="85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4">
    <w:name w:val="Heading 9 Char"/>
    <w:basedOn w:val="907"/>
    <w:link w:val="85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Title"/>
    <w:basedOn w:val="906"/>
    <w:next w:val="906"/>
    <w:link w:val="86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6">
    <w:name w:val="Title Char"/>
    <w:basedOn w:val="907"/>
    <w:link w:val="86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7">
    <w:name w:val="Subtitle"/>
    <w:basedOn w:val="906"/>
    <w:next w:val="906"/>
    <w:link w:val="86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8">
    <w:name w:val="Subtitle Char"/>
    <w:basedOn w:val="907"/>
    <w:link w:val="86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9">
    <w:name w:val="Quote"/>
    <w:basedOn w:val="906"/>
    <w:next w:val="906"/>
    <w:link w:val="87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0">
    <w:name w:val="Quote Char"/>
    <w:basedOn w:val="907"/>
    <w:link w:val="86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1">
    <w:name w:val="Intense Emphasis"/>
    <w:basedOn w:val="90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2">
    <w:name w:val="Intense Quote"/>
    <w:basedOn w:val="906"/>
    <w:next w:val="906"/>
    <w:link w:val="87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73">
    <w:name w:val="Intense Quote Char"/>
    <w:basedOn w:val="907"/>
    <w:link w:val="87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4">
    <w:name w:val="Intense Reference"/>
    <w:basedOn w:val="90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75">
    <w:name w:val="No Spacing"/>
    <w:basedOn w:val="906"/>
    <w:uiPriority w:val="1"/>
    <w:qFormat/>
    <w:pPr>
      <w:pBdr/>
      <w:spacing w:after="0" w:line="240" w:lineRule="auto"/>
      <w:ind/>
    </w:pPr>
  </w:style>
  <w:style w:type="character" w:styleId="876">
    <w:name w:val="Subtle Emphasis"/>
    <w:basedOn w:val="90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7">
    <w:name w:val="Emphasis"/>
    <w:basedOn w:val="907"/>
    <w:uiPriority w:val="20"/>
    <w:qFormat/>
    <w:pPr>
      <w:pBdr/>
      <w:spacing/>
      <w:ind/>
    </w:pPr>
    <w:rPr>
      <w:i/>
      <w:iCs/>
    </w:rPr>
  </w:style>
  <w:style w:type="character" w:styleId="878">
    <w:name w:val="Strong"/>
    <w:basedOn w:val="907"/>
    <w:uiPriority w:val="22"/>
    <w:qFormat/>
    <w:pPr>
      <w:pBdr/>
      <w:spacing/>
      <w:ind/>
    </w:pPr>
    <w:rPr>
      <w:b/>
      <w:bCs/>
    </w:rPr>
  </w:style>
  <w:style w:type="character" w:styleId="879">
    <w:name w:val="Subtle Reference"/>
    <w:basedOn w:val="90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0">
    <w:name w:val="Book Title"/>
    <w:basedOn w:val="90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1">
    <w:name w:val="Header"/>
    <w:basedOn w:val="906"/>
    <w:link w:val="88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2">
    <w:name w:val="Header Char"/>
    <w:basedOn w:val="907"/>
    <w:link w:val="881"/>
    <w:uiPriority w:val="99"/>
    <w:pPr>
      <w:pBdr/>
      <w:spacing/>
      <w:ind/>
    </w:pPr>
  </w:style>
  <w:style w:type="paragraph" w:styleId="883">
    <w:name w:val="Footer"/>
    <w:basedOn w:val="906"/>
    <w:link w:val="88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4">
    <w:name w:val="Footer Char"/>
    <w:basedOn w:val="907"/>
    <w:link w:val="883"/>
    <w:uiPriority w:val="99"/>
    <w:pPr>
      <w:pBdr/>
      <w:spacing/>
      <w:ind/>
    </w:pPr>
  </w:style>
  <w:style w:type="paragraph" w:styleId="885">
    <w:name w:val="Caption"/>
    <w:basedOn w:val="906"/>
    <w:next w:val="90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86">
    <w:name w:val="footnote text"/>
    <w:basedOn w:val="906"/>
    <w:link w:val="88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7">
    <w:name w:val="Footnote Text Char"/>
    <w:basedOn w:val="907"/>
    <w:link w:val="886"/>
    <w:uiPriority w:val="99"/>
    <w:semiHidden/>
    <w:pPr>
      <w:pBdr/>
      <w:spacing/>
      <w:ind/>
    </w:pPr>
    <w:rPr>
      <w:sz w:val="20"/>
      <w:szCs w:val="20"/>
    </w:rPr>
  </w:style>
  <w:style w:type="character" w:styleId="888">
    <w:name w:val="footnote reference"/>
    <w:basedOn w:val="907"/>
    <w:uiPriority w:val="99"/>
    <w:semiHidden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6"/>
    <w:link w:val="89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0">
    <w:name w:val="Endnote Text Char"/>
    <w:basedOn w:val="907"/>
    <w:link w:val="889"/>
    <w:uiPriority w:val="99"/>
    <w:semiHidden/>
    <w:pPr>
      <w:pBdr/>
      <w:spacing/>
      <w:ind/>
    </w:pPr>
    <w:rPr>
      <w:sz w:val="20"/>
      <w:szCs w:val="20"/>
    </w:rPr>
  </w:style>
  <w:style w:type="character" w:styleId="891">
    <w:name w:val="endnote reference"/>
    <w:basedOn w:val="907"/>
    <w:uiPriority w:val="99"/>
    <w:semiHidden/>
    <w:unhideWhenUsed/>
    <w:pPr>
      <w:pBdr/>
      <w:spacing/>
      <w:ind/>
    </w:pPr>
    <w:rPr>
      <w:vertAlign w:val="superscript"/>
    </w:rPr>
  </w:style>
  <w:style w:type="character" w:styleId="892">
    <w:name w:val="Hyperlink"/>
    <w:basedOn w:val="90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3">
    <w:name w:val="FollowedHyperlink"/>
    <w:basedOn w:val="90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4">
    <w:name w:val="toc 1"/>
    <w:basedOn w:val="906"/>
    <w:next w:val="906"/>
    <w:uiPriority w:val="39"/>
    <w:unhideWhenUsed/>
    <w:pPr>
      <w:pBdr/>
      <w:spacing w:after="100"/>
      <w:ind/>
    </w:pPr>
  </w:style>
  <w:style w:type="paragraph" w:styleId="895">
    <w:name w:val="toc 2"/>
    <w:basedOn w:val="906"/>
    <w:next w:val="906"/>
    <w:uiPriority w:val="39"/>
    <w:unhideWhenUsed/>
    <w:pPr>
      <w:pBdr/>
      <w:spacing w:after="100"/>
      <w:ind w:left="220"/>
    </w:pPr>
  </w:style>
  <w:style w:type="paragraph" w:styleId="896">
    <w:name w:val="toc 3"/>
    <w:basedOn w:val="906"/>
    <w:next w:val="906"/>
    <w:uiPriority w:val="39"/>
    <w:unhideWhenUsed/>
    <w:pPr>
      <w:pBdr/>
      <w:spacing w:after="100"/>
      <w:ind w:left="440"/>
    </w:pPr>
  </w:style>
  <w:style w:type="paragraph" w:styleId="897">
    <w:name w:val="toc 4"/>
    <w:basedOn w:val="906"/>
    <w:next w:val="906"/>
    <w:uiPriority w:val="39"/>
    <w:unhideWhenUsed/>
    <w:pPr>
      <w:pBdr/>
      <w:spacing w:after="100"/>
      <w:ind w:left="660"/>
    </w:pPr>
  </w:style>
  <w:style w:type="paragraph" w:styleId="898">
    <w:name w:val="toc 5"/>
    <w:basedOn w:val="906"/>
    <w:next w:val="906"/>
    <w:uiPriority w:val="39"/>
    <w:unhideWhenUsed/>
    <w:pPr>
      <w:pBdr/>
      <w:spacing w:after="100"/>
      <w:ind w:left="880"/>
    </w:pPr>
  </w:style>
  <w:style w:type="paragraph" w:styleId="899">
    <w:name w:val="toc 6"/>
    <w:basedOn w:val="906"/>
    <w:next w:val="906"/>
    <w:uiPriority w:val="39"/>
    <w:unhideWhenUsed/>
    <w:pPr>
      <w:pBdr/>
      <w:spacing w:after="100"/>
      <w:ind w:left="1100"/>
    </w:pPr>
  </w:style>
  <w:style w:type="paragraph" w:styleId="900">
    <w:name w:val="toc 7"/>
    <w:basedOn w:val="906"/>
    <w:next w:val="906"/>
    <w:uiPriority w:val="39"/>
    <w:unhideWhenUsed/>
    <w:pPr>
      <w:pBdr/>
      <w:spacing w:after="100"/>
      <w:ind w:left="1320"/>
    </w:pPr>
  </w:style>
  <w:style w:type="paragraph" w:styleId="901">
    <w:name w:val="toc 8"/>
    <w:basedOn w:val="906"/>
    <w:next w:val="906"/>
    <w:uiPriority w:val="39"/>
    <w:unhideWhenUsed/>
    <w:pPr>
      <w:pBdr/>
      <w:spacing w:after="100"/>
      <w:ind w:left="1540"/>
    </w:pPr>
  </w:style>
  <w:style w:type="paragraph" w:styleId="902">
    <w:name w:val="toc 9"/>
    <w:basedOn w:val="906"/>
    <w:next w:val="906"/>
    <w:uiPriority w:val="39"/>
    <w:unhideWhenUsed/>
    <w:pPr>
      <w:pBdr/>
      <w:spacing w:after="100"/>
      <w:ind w:left="1760"/>
    </w:pPr>
  </w:style>
  <w:style w:type="character" w:styleId="903">
    <w:name w:val="Placeholder Text"/>
    <w:basedOn w:val="907"/>
    <w:uiPriority w:val="99"/>
    <w:semiHidden/>
    <w:pPr>
      <w:pBdr/>
      <w:spacing/>
      <w:ind/>
    </w:pPr>
    <w:rPr>
      <w:color w:val="666666"/>
    </w:rPr>
  </w:style>
  <w:style w:type="paragraph" w:styleId="904">
    <w:name w:val="TOC Heading"/>
    <w:uiPriority w:val="39"/>
    <w:unhideWhenUsed/>
    <w:pPr>
      <w:pBdr/>
      <w:spacing/>
      <w:ind/>
    </w:pPr>
  </w:style>
  <w:style w:type="paragraph" w:styleId="905">
    <w:name w:val="table of figures"/>
    <w:basedOn w:val="906"/>
    <w:next w:val="906"/>
    <w:uiPriority w:val="99"/>
    <w:unhideWhenUsed/>
    <w:pPr>
      <w:pBdr/>
      <w:spacing w:after="0" w:afterAutospacing="0"/>
      <w:ind/>
    </w:pPr>
  </w:style>
  <w:style w:type="paragraph" w:styleId="906" w:default="1">
    <w:name w:val="Normal"/>
    <w:qFormat/>
    <w:pPr>
      <w:pBdr/>
      <w:spacing/>
      <w:ind/>
    </w:pPr>
  </w:style>
  <w:style w:type="character" w:styleId="907" w:default="1">
    <w:name w:val="Default Paragraph Font"/>
    <w:uiPriority w:val="1"/>
    <w:semiHidden/>
    <w:unhideWhenUsed/>
    <w:pPr>
      <w:pBdr/>
      <w:spacing/>
      <w:ind/>
    </w:pPr>
  </w:style>
  <w:style w:type="table" w:styleId="90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9" w:default="1">
    <w:name w:val="No List"/>
    <w:uiPriority w:val="99"/>
    <w:semiHidden/>
    <w:unhideWhenUsed/>
    <w:pPr>
      <w:pBdr/>
      <w:spacing/>
      <w:ind/>
    </w:pPr>
  </w:style>
  <w:style w:type="paragraph" w:styleId="910">
    <w:name w:val="Balloon Text"/>
    <w:basedOn w:val="906"/>
    <w:link w:val="911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11" w:customStyle="1">
    <w:name w:val="Текст выноски Знак"/>
    <w:basedOn w:val="907"/>
    <w:link w:val="910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12">
    <w:name w:val="List Paragraph"/>
    <w:basedOn w:val="906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 Ж. Балтабекова</dc:creator>
  <cp:revision>12</cp:revision>
  <dcterms:created xsi:type="dcterms:W3CDTF">2025-05-14T07:50:00Z</dcterms:created>
  <dcterms:modified xsi:type="dcterms:W3CDTF">2025-10-21T05:09:28Z</dcterms:modified>
</cp:coreProperties>
</file>