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720B9A">
        <w:rPr>
          <w:rFonts w:ascii="Times New Roman" w:eastAsia="Times New Roman" w:hAnsi="Times New Roman" w:cs="Times New Roman"/>
          <w:sz w:val="24"/>
          <w:szCs w:val="24"/>
          <w:highlight w:val="yellow"/>
          <w:lang w:val="kk-KZ" w:eastAsia="ru-RU"/>
        </w:rPr>
        <w:t>2</w:t>
      </w:r>
      <w:r w:rsidR="00530569">
        <w:rPr>
          <w:rFonts w:ascii="Times New Roman" w:eastAsia="Times New Roman" w:hAnsi="Times New Roman" w:cs="Times New Roman"/>
          <w:sz w:val="24"/>
          <w:szCs w:val="24"/>
          <w:highlight w:val="yellow"/>
          <w:lang w:val="kk-KZ" w:eastAsia="ru-RU"/>
        </w:rPr>
        <w:t>6</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236CD8">
        <w:rPr>
          <w:rFonts w:ascii="Times New Roman" w:eastAsia="Times New Roman" w:hAnsi="Times New Roman" w:cs="Times New Roman"/>
          <w:sz w:val="24"/>
          <w:szCs w:val="24"/>
          <w:highlight w:val="yellow"/>
          <w:lang w:eastAsia="ru-RU"/>
        </w:rPr>
        <w:t xml:space="preserve">от « </w:t>
      </w:r>
      <w:r w:rsidR="00720B9A">
        <w:rPr>
          <w:rFonts w:ascii="Times New Roman" w:eastAsia="Times New Roman" w:hAnsi="Times New Roman" w:cs="Times New Roman"/>
          <w:sz w:val="24"/>
          <w:szCs w:val="24"/>
          <w:highlight w:val="yellow"/>
          <w:lang w:val="kk-KZ" w:eastAsia="ru-RU"/>
        </w:rPr>
        <w:t>0</w:t>
      </w:r>
      <w:r w:rsidR="00450A47">
        <w:rPr>
          <w:rFonts w:ascii="Times New Roman" w:eastAsia="Times New Roman" w:hAnsi="Times New Roman" w:cs="Times New Roman"/>
          <w:sz w:val="24"/>
          <w:szCs w:val="24"/>
          <w:highlight w:val="yellow"/>
          <w:lang w:val="kk-KZ" w:eastAsia="ru-RU"/>
        </w:rPr>
        <w:t>4</w:t>
      </w:r>
      <w:r w:rsidRPr="00236CD8">
        <w:rPr>
          <w:rFonts w:ascii="Times New Roman" w:eastAsia="Times New Roman" w:hAnsi="Times New Roman" w:cs="Times New Roman"/>
          <w:sz w:val="24"/>
          <w:szCs w:val="24"/>
          <w:highlight w:val="yellow"/>
          <w:lang w:eastAsia="ru-RU"/>
        </w:rPr>
        <w:t xml:space="preserve"> »</w:t>
      </w:r>
      <w:r w:rsidRPr="00236CD8">
        <w:rPr>
          <w:rFonts w:ascii="Times New Roman" w:eastAsia="Times New Roman" w:hAnsi="Times New Roman" w:cs="Times New Roman"/>
          <w:sz w:val="24"/>
          <w:szCs w:val="24"/>
          <w:highlight w:val="yellow"/>
          <w:lang w:val="kk-KZ" w:eastAsia="ru-RU"/>
        </w:rPr>
        <w:t xml:space="preserve">   </w:t>
      </w:r>
      <w:r w:rsidR="00720B9A">
        <w:rPr>
          <w:rFonts w:ascii="Times New Roman" w:eastAsia="Times New Roman" w:hAnsi="Times New Roman" w:cs="Times New Roman"/>
          <w:sz w:val="24"/>
          <w:szCs w:val="24"/>
          <w:highlight w:val="yellow"/>
          <w:lang w:val="kk-KZ" w:eastAsia="ru-RU"/>
        </w:rPr>
        <w:t>феврал</w:t>
      </w:r>
      <w:r w:rsidR="00236CD8" w:rsidRPr="00236CD8">
        <w:rPr>
          <w:rFonts w:ascii="Times New Roman" w:eastAsia="Times New Roman" w:hAnsi="Times New Roman" w:cs="Times New Roman"/>
          <w:sz w:val="24"/>
          <w:szCs w:val="24"/>
          <w:highlight w:val="yellow"/>
          <w:lang w:val="kk-KZ" w:eastAsia="ru-RU"/>
        </w:rPr>
        <w:t>я</w:t>
      </w:r>
      <w:r w:rsidRPr="00236CD8">
        <w:rPr>
          <w:rFonts w:ascii="Times New Roman" w:eastAsia="Times New Roman" w:hAnsi="Times New Roman" w:cs="Times New Roman"/>
          <w:sz w:val="24"/>
          <w:szCs w:val="24"/>
          <w:highlight w:val="yellow"/>
          <w:lang w:val="kk-KZ" w:eastAsia="ru-RU"/>
        </w:rPr>
        <w:t xml:space="preserve">     </w:t>
      </w:r>
      <w:r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составляет </w:t>
      </w:r>
      <w:r w:rsidR="00450A47">
        <w:rPr>
          <w:rFonts w:ascii="Times New Roman" w:eastAsia="Times New Roman" w:hAnsi="Times New Roman" w:cs="Times New Roman"/>
          <w:sz w:val="24"/>
          <w:szCs w:val="24"/>
          <w:highlight w:val="yellow"/>
          <w:lang w:eastAsia="ru-RU"/>
        </w:rPr>
        <w:t>14 600 000</w:t>
      </w:r>
      <w:r w:rsidR="00D46DC0">
        <w:rPr>
          <w:rFonts w:ascii="Times New Roman" w:eastAsia="Times New Roman" w:hAnsi="Times New Roman" w:cs="Times New Roman"/>
          <w:sz w:val="24"/>
          <w:szCs w:val="24"/>
          <w:highlight w:val="yellow"/>
          <w:lang w:eastAsia="ru-RU"/>
        </w:rPr>
        <w:t>,00</w:t>
      </w:r>
      <w:r w:rsidRPr="005E16F7">
        <w:rPr>
          <w:rFonts w:ascii="Times New Roman" w:eastAsia="Times New Roman" w:hAnsi="Times New Roman" w:cs="Times New Roman"/>
          <w:sz w:val="24"/>
          <w:szCs w:val="24"/>
          <w:highlight w:val="yellow"/>
          <w:lang w:eastAsia="ru-RU"/>
        </w:rPr>
        <w:t xml:space="preserve"> тенге </w:t>
      </w:r>
      <w:r w:rsidRPr="00450A47">
        <w:rPr>
          <w:rFonts w:ascii="Times New Roman" w:eastAsia="Times New Roman" w:hAnsi="Times New Roman" w:cs="Times New Roman"/>
          <w:sz w:val="24"/>
          <w:szCs w:val="24"/>
          <w:highlight w:val="yellow"/>
          <w:lang w:eastAsia="ru-RU"/>
        </w:rPr>
        <w:t>(</w:t>
      </w:r>
      <w:r w:rsidR="00450A47" w:rsidRPr="00450A47">
        <w:rPr>
          <w:rFonts w:ascii="Times New Roman" w:eastAsia="Times New Roman" w:hAnsi="Times New Roman" w:cs="Times New Roman"/>
          <w:sz w:val="24"/>
          <w:szCs w:val="24"/>
          <w:highlight w:val="yellow"/>
          <w:lang w:val="kk-KZ" w:eastAsia="ru-RU"/>
        </w:rPr>
        <w:t>четырнадцать миллионов шестьсот тысяч</w:t>
      </w:r>
      <w:r w:rsidR="00D46DC0" w:rsidRPr="00450A47">
        <w:rPr>
          <w:rFonts w:ascii="Times New Roman" w:eastAsia="Times New Roman" w:hAnsi="Times New Roman" w:cs="Times New Roman"/>
          <w:sz w:val="24"/>
          <w:szCs w:val="24"/>
          <w:highlight w:val="yellow"/>
          <w:lang w:eastAsia="ru-RU"/>
        </w:rPr>
        <w:t>) тенге 0</w:t>
      </w:r>
      <w:r w:rsidRPr="00450A4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0"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0"/>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342D96">
        <w:rPr>
          <w:rFonts w:ascii="Times New Roman" w:eastAsia="Times New Roman" w:hAnsi="Times New Roman" w:cs="Times New Roman"/>
          <w:b/>
          <w:sz w:val="24"/>
          <w:szCs w:val="24"/>
          <w:highlight w:val="yellow"/>
          <w:lang w:val="kk-KZ" w:eastAsia="ru-RU"/>
        </w:rPr>
        <w:t>2</w:t>
      </w:r>
      <w:r w:rsidR="00A3076C">
        <w:rPr>
          <w:rFonts w:ascii="Times New Roman" w:eastAsia="Times New Roman" w:hAnsi="Times New Roman" w:cs="Times New Roman"/>
          <w:b/>
          <w:sz w:val="24"/>
          <w:szCs w:val="24"/>
          <w:highlight w:val="yellow"/>
          <w:lang w:val="kk-KZ" w:eastAsia="ru-RU"/>
        </w:rPr>
        <w:t>4</w:t>
      </w:r>
      <w:r w:rsidRPr="005E16F7">
        <w:rPr>
          <w:rFonts w:ascii="Times New Roman" w:eastAsia="Times New Roman" w:hAnsi="Times New Roman" w:cs="Times New Roman"/>
          <w:b/>
          <w:sz w:val="24"/>
          <w:szCs w:val="24"/>
          <w:highlight w:val="yellow"/>
          <w:lang w:val="kk-KZ" w:eastAsia="ru-RU"/>
        </w:rPr>
        <w:t xml:space="preserve"> »  февраля</w:t>
      </w:r>
      <w:r w:rsidRPr="005E16F7">
        <w:rPr>
          <w:rFonts w:ascii="Times New Roman" w:eastAsia="Times New Roman" w:hAnsi="Times New Roman" w:cs="Times New Roman"/>
          <w:b/>
          <w:sz w:val="24"/>
          <w:szCs w:val="24"/>
          <w:highlight w:val="yellow"/>
          <w:lang w:eastAsia="ru-RU"/>
        </w:rPr>
        <w:t xml:space="preserve"> 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342D96">
        <w:rPr>
          <w:rFonts w:ascii="Times New Roman" w:eastAsia="Times New Roman" w:hAnsi="Times New Roman" w:cs="Times New Roman"/>
          <w:b/>
          <w:color w:val="FF0000"/>
          <w:sz w:val="24"/>
          <w:szCs w:val="24"/>
          <w:lang w:val="kk-KZ" w:eastAsia="ar-SA"/>
        </w:rPr>
        <w:t>2</w:t>
      </w:r>
      <w:r w:rsidR="00A3076C">
        <w:rPr>
          <w:rFonts w:ascii="Times New Roman" w:eastAsia="Times New Roman" w:hAnsi="Times New Roman" w:cs="Times New Roman"/>
          <w:b/>
          <w:color w:val="FF0000"/>
          <w:sz w:val="24"/>
          <w:szCs w:val="24"/>
          <w:lang w:val="kk-KZ" w:eastAsia="ar-SA"/>
        </w:rPr>
        <w:t>4</w:t>
      </w:r>
      <w:r w:rsidRPr="005E16F7">
        <w:rPr>
          <w:rFonts w:ascii="Times New Roman" w:eastAsia="Times New Roman" w:hAnsi="Times New Roman" w:cs="Times New Roman"/>
          <w:b/>
          <w:color w:val="FF0000"/>
          <w:sz w:val="24"/>
          <w:szCs w:val="24"/>
          <w:lang w:val="kk-KZ" w:eastAsia="ar-SA"/>
        </w:rPr>
        <w:t xml:space="preserve">» февраля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342D96">
        <w:rPr>
          <w:rFonts w:ascii="Times New Roman" w:eastAsia="Times New Roman" w:hAnsi="Times New Roman" w:cs="Times New Roman"/>
          <w:b/>
          <w:color w:val="FF0000"/>
          <w:sz w:val="24"/>
          <w:szCs w:val="24"/>
          <w:lang w:val="kk-KZ" w:eastAsia="ar-SA"/>
        </w:rPr>
        <w:t>2</w:t>
      </w:r>
      <w:r w:rsidR="00A3076C">
        <w:rPr>
          <w:rFonts w:ascii="Times New Roman" w:eastAsia="Times New Roman" w:hAnsi="Times New Roman" w:cs="Times New Roman"/>
          <w:b/>
          <w:color w:val="FF0000"/>
          <w:sz w:val="24"/>
          <w:szCs w:val="24"/>
          <w:lang w:val="kk-KZ" w:eastAsia="ar-SA"/>
        </w:rPr>
        <w:t>4</w:t>
      </w:r>
      <w:r w:rsidRPr="005E16F7">
        <w:rPr>
          <w:rFonts w:ascii="Times New Roman" w:eastAsia="Times New Roman" w:hAnsi="Times New Roman" w:cs="Times New Roman"/>
          <w:b/>
          <w:color w:val="FF0000"/>
          <w:sz w:val="24"/>
          <w:szCs w:val="24"/>
          <w:lang w:val="kk-KZ" w:eastAsia="ar-SA"/>
        </w:rPr>
        <w:t xml:space="preserve">» февраля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342D96">
        <w:rPr>
          <w:rFonts w:ascii="Times New Roman" w:eastAsia="Times New Roman" w:hAnsi="Times New Roman" w:cs="Times New Roman"/>
          <w:color w:val="FF0000"/>
          <w:sz w:val="24"/>
          <w:szCs w:val="24"/>
          <w:lang w:eastAsia="ar-SA"/>
        </w:rPr>
        <w:t>2</w:t>
      </w:r>
      <w:r w:rsidR="008C08E5">
        <w:rPr>
          <w:rFonts w:ascii="Times New Roman" w:eastAsia="Times New Roman" w:hAnsi="Times New Roman" w:cs="Times New Roman"/>
          <w:color w:val="FF0000"/>
          <w:sz w:val="24"/>
          <w:szCs w:val="24"/>
          <w:lang w:eastAsia="ar-SA"/>
        </w:rPr>
        <w:t>4</w:t>
      </w:r>
      <w:r w:rsidRPr="005E16F7">
        <w:rPr>
          <w:rFonts w:ascii="Times New Roman" w:eastAsia="Times New Roman" w:hAnsi="Times New Roman" w:cs="Times New Roman"/>
          <w:color w:val="FF0000"/>
          <w:sz w:val="24"/>
          <w:szCs w:val="24"/>
          <w:lang w:eastAsia="ar-SA"/>
        </w:rPr>
        <w:t>» февраля</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1"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3"/>
      <w:bookmarkEnd w:id="1"/>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2"/>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3"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4" w:name="z319"/>
      <w:bookmarkEnd w:id="3"/>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5" w:name="z343"/>
      <w:bookmarkEnd w:id="4"/>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5"/>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6"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7" w:name="z365"/>
      <w:bookmarkEnd w:id="6"/>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7"/>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8"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9" w:name="z369"/>
      <w:bookmarkEnd w:id="8"/>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9"/>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0"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w:t>
      </w:r>
      <w:r w:rsidRPr="005E16F7">
        <w:rPr>
          <w:rFonts w:ascii="Times New Roman" w:eastAsia="Times New Roman" w:hAnsi="Times New Roman" w:cs="Times New Roman"/>
          <w:sz w:val="24"/>
          <w:szCs w:val="24"/>
          <w:lang w:eastAsia="ru-RU"/>
        </w:rPr>
        <w:lastRenderedPageBreak/>
        <w:t>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0"/>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lastRenderedPageBreak/>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4F74DC" w:rsidRPr="005E16F7" w:rsidTr="00530569">
        <w:trPr>
          <w:trHeight w:val="607"/>
        </w:trPr>
        <w:tc>
          <w:tcPr>
            <w:tcW w:w="57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hideMark/>
          </w:tcPr>
          <w:p w:rsidR="004F74DC" w:rsidRPr="005E16F7" w:rsidRDefault="004F74DC"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B83BBF" w:rsidRDefault="004F74DC" w:rsidP="00530569">
            <w:pPr>
              <w:spacing w:after="0" w:line="240" w:lineRule="auto"/>
              <w:jc w:val="center"/>
              <w:rPr>
                <w:rFonts w:ascii="Times New Roman" w:hAnsi="Times New Roman" w:cs="Times New Roman"/>
                <w:sz w:val="24"/>
                <w:szCs w:val="24"/>
              </w:rPr>
            </w:pPr>
            <w:proofErr w:type="gramStart"/>
            <w:r w:rsidRPr="003D5F7B">
              <w:rPr>
                <w:rFonts w:ascii="Times New Roman" w:eastAsia="Times New Roman" w:hAnsi="Times New Roman" w:cs="Times New Roman"/>
                <w:sz w:val="24"/>
                <w:szCs w:val="24"/>
                <w:lang w:eastAsia="ru-RU"/>
              </w:rPr>
              <w:t xml:space="preserve">Транспортная среда (система) </w:t>
            </w:r>
            <w:r w:rsidRPr="00530569">
              <w:rPr>
                <w:rFonts w:ascii="Times New Roman" w:eastAsia="Times New Roman" w:hAnsi="Times New Roman" w:cs="Times New Roman"/>
                <w:sz w:val="24"/>
                <w:szCs w:val="24"/>
                <w:lang w:eastAsia="ru-RU"/>
              </w:rPr>
              <w:t>CVTR (</w:t>
            </w:r>
            <w:r w:rsidRPr="003D5F7B">
              <w:rPr>
                <w:rFonts w:ascii="Times New Roman" w:eastAsia="Times New Roman" w:hAnsi="Times New Roman" w:cs="Times New Roman"/>
                <w:sz w:val="24"/>
                <w:szCs w:val="24"/>
                <w:lang w:eastAsia="ru-RU"/>
              </w:rPr>
              <w:t>для вирусов микоплазм, хламидий (модифицированная)</w:t>
            </w:r>
            <w:proofErr w:type="gramEnd"/>
          </w:p>
        </w:tc>
        <w:tc>
          <w:tcPr>
            <w:tcW w:w="709"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FC6B7A" w:rsidRDefault="004F74DC" w:rsidP="00530569">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D7EA1">
              <w:rPr>
                <w:rFonts w:ascii="Times New Roman" w:eastAsia="Times New Roman" w:hAnsi="Times New Roman" w:cs="Times New Roman"/>
                <w:sz w:val="24"/>
                <w:szCs w:val="24"/>
                <w:lang w:eastAsia="ru-RU"/>
              </w:rPr>
              <w:t>Набор</w:t>
            </w:r>
          </w:p>
        </w:tc>
        <w:tc>
          <w:tcPr>
            <w:tcW w:w="851"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C266DF" w:rsidRDefault="004F74DC" w:rsidP="00530569">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3D5F7B">
              <w:rPr>
                <w:rFonts w:ascii="Times New Roman" w:eastAsia="Times New Roman" w:hAnsi="Times New Roman" w:cs="Times New Roman"/>
                <w:sz w:val="24"/>
                <w:szCs w:val="24"/>
                <w:lang w:val="kk-KZ" w:eastAsia="ru-RU"/>
              </w:rPr>
              <w:t>40000</w:t>
            </w:r>
          </w:p>
        </w:tc>
        <w:tc>
          <w:tcPr>
            <w:tcW w:w="1417"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C266DF" w:rsidRDefault="004F74DC" w:rsidP="0053056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14600000,00</w:t>
            </w:r>
          </w:p>
        </w:tc>
        <w:tc>
          <w:tcPr>
            <w:tcW w:w="1276" w:type="dxa"/>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5E16F7" w:rsidRDefault="00530569" w:rsidP="00D61C18">
            <w:pPr>
              <w:spacing w:after="0" w:line="240" w:lineRule="auto"/>
              <w:jc w:val="center"/>
              <w:rPr>
                <w:rFonts w:ascii="Times New Roman" w:eastAsia="Times New Roman" w:hAnsi="Times New Roman" w:cs="Times New Roman"/>
                <w:sz w:val="24"/>
                <w:szCs w:val="24"/>
                <w:lang w:eastAsia="ar-SA"/>
              </w:rPr>
            </w:pPr>
            <w:r w:rsidRPr="00530569">
              <w:rPr>
                <w:rFonts w:ascii="Times New Roman" w:eastAsia="Times New Roman" w:hAnsi="Times New Roman" w:cs="Times New Roman"/>
                <w:color w:val="000000"/>
                <w:sz w:val="24"/>
                <w:szCs w:val="24"/>
                <w:lang w:eastAsia="ru-RU"/>
              </w:rPr>
              <w:t>20000 наборов - в течени</w:t>
            </w:r>
            <w:proofErr w:type="gramStart"/>
            <w:r w:rsidRPr="00530569">
              <w:rPr>
                <w:rFonts w:ascii="Times New Roman" w:eastAsia="Times New Roman" w:hAnsi="Times New Roman" w:cs="Times New Roman"/>
                <w:color w:val="000000"/>
                <w:sz w:val="24"/>
                <w:szCs w:val="24"/>
                <w:lang w:eastAsia="ru-RU"/>
              </w:rPr>
              <w:t>и</w:t>
            </w:r>
            <w:proofErr w:type="gramEnd"/>
            <w:r w:rsidRPr="00530569">
              <w:rPr>
                <w:rFonts w:ascii="Times New Roman" w:eastAsia="Times New Roman" w:hAnsi="Times New Roman" w:cs="Times New Roman"/>
                <w:color w:val="000000"/>
                <w:sz w:val="24"/>
                <w:szCs w:val="24"/>
                <w:lang w:eastAsia="ru-RU"/>
              </w:rPr>
              <w:t xml:space="preserve"> 30 календарных </w:t>
            </w:r>
            <w:proofErr w:type="spellStart"/>
            <w:r w:rsidRPr="00530569">
              <w:rPr>
                <w:rFonts w:ascii="Times New Roman" w:eastAsia="Times New Roman" w:hAnsi="Times New Roman" w:cs="Times New Roman"/>
                <w:color w:val="000000"/>
                <w:sz w:val="24"/>
                <w:szCs w:val="24"/>
                <w:lang w:eastAsia="ru-RU"/>
              </w:rPr>
              <w:t>дней,с</w:t>
            </w:r>
            <w:proofErr w:type="spellEnd"/>
            <w:r w:rsidRPr="00530569">
              <w:rPr>
                <w:rFonts w:ascii="Times New Roman" w:eastAsia="Times New Roman" w:hAnsi="Times New Roman" w:cs="Times New Roman"/>
                <w:color w:val="000000"/>
                <w:sz w:val="24"/>
                <w:szCs w:val="24"/>
                <w:lang w:eastAsia="ru-RU"/>
              </w:rPr>
              <w:t xml:space="preserve"> даты подписания договора, 20000 наборов</w:t>
            </w:r>
            <w:r>
              <w:rPr>
                <w:rFonts w:ascii="Times New Roman" w:eastAsia="Times New Roman" w:hAnsi="Times New Roman" w:cs="Times New Roman"/>
                <w:color w:val="000000"/>
                <w:sz w:val="24"/>
                <w:szCs w:val="24"/>
                <w:lang w:eastAsia="ru-RU"/>
              </w:rPr>
              <w:t xml:space="preserve"> </w:t>
            </w:r>
            <w:r w:rsidRPr="00E97F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апрель 2022года</w:t>
            </w:r>
          </w:p>
        </w:tc>
        <w:tc>
          <w:tcPr>
            <w:tcW w:w="1134" w:type="dxa"/>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5E16F7" w:rsidRDefault="004F74DC" w:rsidP="005E16F7">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hideMark/>
          </w:tcPr>
          <w:p w:rsidR="004F74DC" w:rsidRPr="005E16F7" w:rsidRDefault="004F74DC"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4F74DC" w:rsidRPr="005E16F7" w:rsidRDefault="004F74DC" w:rsidP="005E16F7">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4F74DC" w:rsidRPr="005E16F7" w:rsidTr="004F74DC">
        <w:trPr>
          <w:trHeight w:val="264"/>
        </w:trPr>
        <w:tc>
          <w:tcPr>
            <w:tcW w:w="57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Default="004F74DC" w:rsidP="005E16F7">
            <w:pPr>
              <w:spacing w:after="0" w:line="240" w:lineRule="auto"/>
              <w:jc w:val="center"/>
              <w:rPr>
                <w:rFonts w:ascii="Times New Roman" w:eastAsia="Times New Roman" w:hAnsi="Times New Roman" w:cs="Times New Roman"/>
                <w:b/>
                <w:bCs/>
                <w:sz w:val="24"/>
                <w:szCs w:val="24"/>
                <w:lang w:eastAsia="ar-SA"/>
              </w:rPr>
            </w:pPr>
          </w:p>
        </w:tc>
        <w:tc>
          <w:tcPr>
            <w:tcW w:w="2300" w:type="dxa"/>
            <w:vMerge/>
            <w:tcBorders>
              <w:left w:val="single" w:sz="4" w:space="0" w:color="auto"/>
              <w:bottom w:val="single" w:sz="4" w:space="0" w:color="auto"/>
              <w:right w:val="single" w:sz="4" w:space="0" w:color="auto"/>
            </w:tcBorders>
            <w:tcMar>
              <w:top w:w="0" w:type="dxa"/>
              <w:left w:w="40" w:type="dxa"/>
              <w:bottom w:w="0" w:type="dxa"/>
              <w:right w:w="40" w:type="dxa"/>
            </w:tcMar>
          </w:tcPr>
          <w:p w:rsidR="004F74DC" w:rsidRPr="00B83BBF" w:rsidRDefault="004F74DC" w:rsidP="00D61C18">
            <w:pPr>
              <w:spacing w:after="0" w:line="240" w:lineRule="auto"/>
              <w:rPr>
                <w:rFonts w:ascii="Times New Roman" w:hAnsi="Times New Roman" w:cs="Times New Roman"/>
                <w:bCs/>
                <w:iCs/>
                <w:sz w:val="24"/>
                <w:szCs w:val="24"/>
              </w:rPr>
            </w:pPr>
          </w:p>
        </w:tc>
        <w:tc>
          <w:tcPr>
            <w:tcW w:w="709" w:type="dxa"/>
            <w:vMerge/>
            <w:tcBorders>
              <w:left w:val="single" w:sz="4" w:space="0" w:color="auto"/>
              <w:bottom w:val="single" w:sz="4" w:space="0" w:color="auto"/>
              <w:right w:val="single" w:sz="4" w:space="0" w:color="auto"/>
            </w:tcBorders>
            <w:tcMar>
              <w:top w:w="0" w:type="dxa"/>
              <w:left w:w="40" w:type="dxa"/>
              <w:bottom w:w="0" w:type="dxa"/>
              <w:right w:w="40" w:type="dxa"/>
            </w:tcMar>
          </w:tcPr>
          <w:p w:rsidR="004F74DC" w:rsidRPr="00B83BBF" w:rsidRDefault="004F74DC" w:rsidP="00D61C18">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Pr="00C266DF" w:rsidRDefault="004F74DC"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p>
        </w:tc>
        <w:tc>
          <w:tcPr>
            <w:tcW w:w="1417"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Pr="00C266DF" w:rsidRDefault="004F74DC" w:rsidP="00D61C18">
            <w:pPr>
              <w:spacing w:after="0" w:line="240" w:lineRule="auto"/>
              <w:jc w:val="center"/>
              <w:rPr>
                <w:rFonts w:ascii="Times New Roman" w:eastAsia="Times New Roman" w:hAnsi="Times New Roman" w:cs="Times New Roman"/>
                <w:sz w:val="24"/>
                <w:szCs w:val="24"/>
                <w:lang w:val="en-US" w:eastAsia="ru-RU"/>
              </w:rPr>
            </w:pPr>
          </w:p>
        </w:tc>
        <w:tc>
          <w:tcPr>
            <w:tcW w:w="1276"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Default="004F74DC" w:rsidP="003F3C5F">
            <w:pPr>
              <w:spacing w:after="0" w:line="240" w:lineRule="auto"/>
              <w:jc w:val="center"/>
              <w:rPr>
                <w:rFonts w:ascii="Times New Roman" w:eastAsia="Times New Roman" w:hAnsi="Times New Roman" w:cs="Times New Roman"/>
                <w:sz w:val="24"/>
                <w:szCs w:val="24"/>
                <w:lang w:eastAsia="ar-SA"/>
              </w:rPr>
            </w:pPr>
          </w:p>
        </w:tc>
        <w:tc>
          <w:tcPr>
            <w:tcW w:w="1134"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Pr="000D00F3" w:rsidRDefault="004F74DC" w:rsidP="005E16F7">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Pr="005E16F7" w:rsidRDefault="004F74DC" w:rsidP="00D61C18">
            <w:pPr>
              <w:spacing w:after="0" w:line="240" w:lineRule="auto"/>
              <w:jc w:val="center"/>
              <w:rPr>
                <w:rFonts w:ascii="Times New Roman" w:eastAsia="Times New Roman" w:hAnsi="Times New Roman" w:cs="Times New Roman"/>
                <w:sz w:val="24"/>
                <w:szCs w:val="24"/>
                <w:lang w:eastAsia="ar-SA"/>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4F74DC" w:rsidRPr="005E16F7" w:rsidRDefault="004F74DC" w:rsidP="00D61C18">
            <w:pPr>
              <w:spacing w:after="0" w:line="240" w:lineRule="auto"/>
              <w:jc w:val="center"/>
              <w:rPr>
                <w:rFonts w:ascii="Times New Roman" w:eastAsia="Times New Roman" w:hAnsi="Times New Roman" w:cs="Times New Roman"/>
                <w:bCs/>
                <w:sz w:val="24"/>
                <w:szCs w:val="24"/>
                <w:lang w:eastAsia="ar-SA"/>
              </w:rPr>
            </w:pP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B842C9"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B842C9" w:rsidRPr="005E16F7" w:rsidRDefault="00B842C9"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842C9" w:rsidRPr="00B83BBF" w:rsidRDefault="002868E5" w:rsidP="00D61C18">
            <w:pPr>
              <w:spacing w:after="0" w:line="240" w:lineRule="auto"/>
              <w:rPr>
                <w:rFonts w:ascii="Times New Roman" w:hAnsi="Times New Roman" w:cs="Times New Roman"/>
                <w:sz w:val="24"/>
                <w:szCs w:val="24"/>
              </w:rPr>
            </w:pPr>
            <w:proofErr w:type="gramStart"/>
            <w:r w:rsidRPr="00530569">
              <w:rPr>
                <w:rFonts w:ascii="Times New Roman" w:hAnsi="Times New Roman" w:cs="Times New Roman"/>
                <w:sz w:val="24"/>
                <w:szCs w:val="24"/>
              </w:rPr>
              <w:t>Транспортная среда (система) CVTR (для вирусов</w:t>
            </w:r>
            <w:bookmarkStart w:id="11" w:name="_GoBack"/>
            <w:bookmarkEnd w:id="11"/>
            <w:r w:rsidRPr="002868E5">
              <w:rPr>
                <w:rFonts w:ascii="Times New Roman" w:hAnsi="Times New Roman" w:cs="Times New Roman"/>
                <w:sz w:val="24"/>
                <w:szCs w:val="24"/>
              </w:rPr>
              <w:t xml:space="preserve"> микоплазм, хламидий (модифицированная)</w:t>
            </w:r>
            <w:proofErr w:type="gramEnd"/>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842C9" w:rsidRPr="00B842C9" w:rsidRDefault="002868E5" w:rsidP="0070369C">
            <w:pPr>
              <w:spacing w:after="0" w:line="240" w:lineRule="auto"/>
              <w:jc w:val="both"/>
              <w:rPr>
                <w:rFonts w:ascii="Times New Roman" w:hAnsi="Times New Roman" w:cs="Times New Roman"/>
                <w:lang w:val="kk-KZ"/>
              </w:rPr>
            </w:pPr>
            <w:r w:rsidRPr="002868E5">
              <w:rPr>
                <w:rFonts w:ascii="Times New Roman" w:eastAsia="Times New Roman" w:hAnsi="Times New Roman" w:cs="Times New Roman"/>
                <w:sz w:val="24"/>
                <w:szCs w:val="24"/>
                <w:lang w:eastAsia="ru-RU"/>
              </w:rPr>
              <w:t xml:space="preserve">«Транспортная среда (система) </w:t>
            </w:r>
            <w:r w:rsidRPr="00530569">
              <w:rPr>
                <w:rFonts w:ascii="Times New Roman" w:eastAsia="Times New Roman" w:hAnsi="Times New Roman" w:cs="Times New Roman"/>
                <w:sz w:val="24"/>
                <w:szCs w:val="24"/>
                <w:lang w:eastAsia="ru-RU"/>
              </w:rPr>
              <w:t xml:space="preserve">CVTR для вирусов, микоплазм и хламидий (модифицированная)»; Назначение: Транспортная среда (система) CVTR для вирусов, микоплазм и хламидий (модифицированная) предназначена для сбора и </w:t>
            </w:r>
            <w:proofErr w:type="gramStart"/>
            <w:r w:rsidRPr="00530569">
              <w:rPr>
                <w:rFonts w:ascii="Times New Roman" w:eastAsia="Times New Roman" w:hAnsi="Times New Roman" w:cs="Times New Roman"/>
                <w:sz w:val="24"/>
                <w:szCs w:val="24"/>
                <w:lang w:eastAsia="ru-RU"/>
              </w:rPr>
              <w:t>транспортировки</w:t>
            </w:r>
            <w:proofErr w:type="gramEnd"/>
            <w:r w:rsidRPr="00530569">
              <w:rPr>
                <w:rFonts w:ascii="Times New Roman" w:eastAsia="Times New Roman" w:hAnsi="Times New Roman" w:cs="Times New Roman"/>
                <w:sz w:val="24"/>
                <w:szCs w:val="24"/>
                <w:lang w:eastAsia="ru-RU"/>
              </w:rPr>
              <w:t xml:space="preserve"> клинических образцов от</w:t>
            </w:r>
            <w:r w:rsidRPr="002868E5">
              <w:rPr>
                <w:rFonts w:ascii="Times New Roman" w:eastAsia="Times New Roman" w:hAnsi="Times New Roman" w:cs="Times New Roman"/>
                <w:sz w:val="24"/>
                <w:szCs w:val="24"/>
                <w:lang w:eastAsia="ru-RU"/>
              </w:rPr>
              <w:t xml:space="preserve"> места сбора до лаборатории для последующего исследования на вирусы, в том числе на </w:t>
            </w:r>
            <w:proofErr w:type="spellStart"/>
            <w:r w:rsidRPr="002868E5">
              <w:rPr>
                <w:rFonts w:ascii="Times New Roman" w:eastAsia="Times New Roman" w:hAnsi="Times New Roman" w:cs="Times New Roman"/>
                <w:sz w:val="24"/>
                <w:szCs w:val="24"/>
                <w:lang w:eastAsia="ru-RU"/>
              </w:rPr>
              <w:t>коронавирус</w:t>
            </w:r>
            <w:proofErr w:type="spellEnd"/>
            <w:r w:rsidRPr="002868E5">
              <w:rPr>
                <w:rFonts w:ascii="Times New Roman" w:eastAsia="Times New Roman" w:hAnsi="Times New Roman" w:cs="Times New Roman"/>
                <w:sz w:val="24"/>
                <w:szCs w:val="24"/>
                <w:lang w:eastAsia="ru-RU"/>
              </w:rPr>
              <w:t xml:space="preserve">, вирус простого герпеса, аденовирус, вирус гриппа типа A (H1N1, H5N2, H3N2), респираторно- синцитиальный вирус, </w:t>
            </w:r>
            <w:proofErr w:type="spellStart"/>
            <w:r w:rsidRPr="002868E5">
              <w:rPr>
                <w:rFonts w:ascii="Times New Roman" w:eastAsia="Times New Roman" w:hAnsi="Times New Roman" w:cs="Times New Roman"/>
                <w:sz w:val="24"/>
                <w:szCs w:val="24"/>
                <w:lang w:eastAsia="ru-RU"/>
              </w:rPr>
              <w:t>энтеровирус</w:t>
            </w:r>
            <w:proofErr w:type="spellEnd"/>
            <w:r w:rsidRPr="002868E5">
              <w:rPr>
                <w:rFonts w:ascii="Times New Roman" w:eastAsia="Times New Roman" w:hAnsi="Times New Roman" w:cs="Times New Roman"/>
                <w:sz w:val="24"/>
                <w:szCs w:val="24"/>
                <w:lang w:eastAsia="ru-RU"/>
              </w:rPr>
              <w:t xml:space="preserve">, вирус паротита, </w:t>
            </w:r>
            <w:proofErr w:type="spellStart"/>
            <w:r w:rsidRPr="002868E5">
              <w:rPr>
                <w:rFonts w:ascii="Times New Roman" w:eastAsia="Times New Roman" w:hAnsi="Times New Roman" w:cs="Times New Roman"/>
                <w:sz w:val="24"/>
                <w:szCs w:val="24"/>
                <w:lang w:eastAsia="ru-RU"/>
              </w:rPr>
              <w:t>риновирус</w:t>
            </w:r>
            <w:proofErr w:type="spellEnd"/>
            <w:r w:rsidRPr="002868E5">
              <w:rPr>
                <w:rFonts w:ascii="Times New Roman" w:eastAsia="Times New Roman" w:hAnsi="Times New Roman" w:cs="Times New Roman"/>
                <w:sz w:val="24"/>
                <w:szCs w:val="24"/>
                <w:lang w:eastAsia="ru-RU"/>
              </w:rPr>
              <w:t>, а также микоплазм и хламидий, используется для ПЦР - исследований и для выделения вирусов. Состав: Среда «</w:t>
            </w:r>
            <w:proofErr w:type="spellStart"/>
            <w:r w:rsidRPr="002868E5">
              <w:rPr>
                <w:rFonts w:ascii="Times New Roman" w:eastAsia="Times New Roman" w:hAnsi="Times New Roman" w:cs="Times New Roman"/>
                <w:sz w:val="24"/>
                <w:szCs w:val="24"/>
                <w:lang w:eastAsia="ru-RU"/>
              </w:rPr>
              <w:t>Medium</w:t>
            </w:r>
            <w:proofErr w:type="spellEnd"/>
            <w:r w:rsidRPr="002868E5">
              <w:rPr>
                <w:rFonts w:ascii="Times New Roman" w:eastAsia="Times New Roman" w:hAnsi="Times New Roman" w:cs="Times New Roman"/>
                <w:sz w:val="24"/>
                <w:szCs w:val="24"/>
                <w:lang w:eastAsia="ru-RU"/>
              </w:rPr>
              <w:t xml:space="preserve"> 199 </w:t>
            </w:r>
            <w:proofErr w:type="spellStart"/>
            <w:r w:rsidRPr="002868E5">
              <w:rPr>
                <w:rFonts w:ascii="Times New Roman" w:eastAsia="Times New Roman" w:hAnsi="Times New Roman" w:cs="Times New Roman"/>
                <w:sz w:val="24"/>
                <w:szCs w:val="24"/>
                <w:lang w:eastAsia="ru-RU"/>
              </w:rPr>
              <w:t>with</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Earle's</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salts</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and</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LGlutamine</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without</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Sodium</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Bicarbonate</w:t>
            </w:r>
            <w:proofErr w:type="spellEnd"/>
            <w:r w:rsidRPr="002868E5">
              <w:rPr>
                <w:rFonts w:ascii="Times New Roman" w:eastAsia="Times New Roman" w:hAnsi="Times New Roman" w:cs="Times New Roman"/>
                <w:sz w:val="24"/>
                <w:szCs w:val="24"/>
                <w:lang w:eastAsia="ru-RU"/>
              </w:rPr>
              <w:t>» (</w:t>
            </w:r>
            <w:proofErr w:type="spellStart"/>
            <w:r w:rsidRPr="002868E5">
              <w:rPr>
                <w:rFonts w:ascii="Times New Roman" w:eastAsia="Times New Roman" w:hAnsi="Times New Roman" w:cs="Times New Roman"/>
                <w:sz w:val="24"/>
                <w:szCs w:val="24"/>
                <w:lang w:eastAsia="ru-RU"/>
              </w:rPr>
              <w:t>Biological</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Industries</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Israel</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Beit</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Haemek</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Israel</w:t>
            </w:r>
            <w:proofErr w:type="spellEnd"/>
            <w:r w:rsidRPr="002868E5">
              <w:rPr>
                <w:rFonts w:ascii="Times New Roman" w:eastAsia="Times New Roman" w:hAnsi="Times New Roman" w:cs="Times New Roman"/>
                <w:sz w:val="24"/>
                <w:szCs w:val="24"/>
                <w:lang w:eastAsia="ru-RU"/>
              </w:rPr>
              <w:t>); Бычий сывороточный альбумин (BSA) (</w:t>
            </w:r>
            <w:proofErr w:type="spellStart"/>
            <w:r w:rsidRPr="002868E5">
              <w:rPr>
                <w:rFonts w:ascii="Times New Roman" w:eastAsia="Times New Roman" w:hAnsi="Times New Roman" w:cs="Times New Roman"/>
                <w:sz w:val="24"/>
                <w:szCs w:val="24"/>
                <w:lang w:eastAsia="ru-RU"/>
              </w:rPr>
              <w:t>Lifecycle</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Biotechnologies</w:t>
            </w:r>
            <w:proofErr w:type="spellEnd"/>
            <w:r w:rsidRPr="002868E5">
              <w:rPr>
                <w:rFonts w:ascii="Times New Roman" w:eastAsia="Times New Roman" w:hAnsi="Times New Roman" w:cs="Times New Roman"/>
                <w:sz w:val="24"/>
                <w:szCs w:val="24"/>
                <w:lang w:eastAsia="ru-RU"/>
              </w:rPr>
              <w:t xml:space="preserve">., LP, USA); </w:t>
            </w:r>
            <w:proofErr w:type="spellStart"/>
            <w:r w:rsidRPr="002868E5">
              <w:rPr>
                <w:rFonts w:ascii="Times New Roman" w:eastAsia="Times New Roman" w:hAnsi="Times New Roman" w:cs="Times New Roman"/>
                <w:sz w:val="24"/>
                <w:szCs w:val="24"/>
                <w:lang w:eastAsia="ru-RU"/>
              </w:rPr>
              <w:t>Линкомицин</w:t>
            </w:r>
            <w:proofErr w:type="spellEnd"/>
            <w:r w:rsidRPr="002868E5">
              <w:rPr>
                <w:rFonts w:ascii="Times New Roman" w:eastAsia="Times New Roman" w:hAnsi="Times New Roman" w:cs="Times New Roman"/>
                <w:sz w:val="24"/>
                <w:szCs w:val="24"/>
                <w:lang w:eastAsia="ru-RU"/>
              </w:rPr>
              <w:t xml:space="preserve">; Гентамицин; </w:t>
            </w:r>
            <w:proofErr w:type="spellStart"/>
            <w:r w:rsidRPr="002868E5">
              <w:rPr>
                <w:rFonts w:ascii="Times New Roman" w:eastAsia="Times New Roman" w:hAnsi="Times New Roman" w:cs="Times New Roman"/>
                <w:sz w:val="24"/>
                <w:szCs w:val="24"/>
                <w:lang w:eastAsia="ru-RU"/>
              </w:rPr>
              <w:t>Нистатин</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Офлоксацин</w:t>
            </w:r>
            <w:proofErr w:type="spellEnd"/>
            <w:r w:rsidRPr="002868E5">
              <w:rPr>
                <w:rFonts w:ascii="Times New Roman" w:eastAsia="Times New Roman" w:hAnsi="Times New Roman" w:cs="Times New Roman"/>
                <w:sz w:val="24"/>
                <w:szCs w:val="24"/>
                <w:lang w:eastAsia="ru-RU"/>
              </w:rPr>
              <w:t xml:space="preserve"> гидрохлорид; </w:t>
            </w:r>
            <w:proofErr w:type="spellStart"/>
            <w:r w:rsidRPr="002868E5">
              <w:rPr>
                <w:rFonts w:ascii="Times New Roman" w:eastAsia="Times New Roman" w:hAnsi="Times New Roman" w:cs="Times New Roman"/>
                <w:sz w:val="24"/>
                <w:szCs w:val="24"/>
                <w:lang w:eastAsia="ru-RU"/>
              </w:rPr>
              <w:t>Ципролет</w:t>
            </w:r>
            <w:proofErr w:type="spellEnd"/>
            <w:r w:rsidRPr="002868E5">
              <w:rPr>
                <w:rFonts w:ascii="Times New Roman" w:eastAsia="Times New Roman" w:hAnsi="Times New Roman" w:cs="Times New Roman"/>
                <w:sz w:val="24"/>
                <w:szCs w:val="24"/>
                <w:lang w:eastAsia="ru-RU"/>
              </w:rPr>
              <w:t>; Вода для инъекций (</w:t>
            </w:r>
            <w:proofErr w:type="spellStart"/>
            <w:r w:rsidRPr="002868E5">
              <w:rPr>
                <w:rFonts w:ascii="Times New Roman" w:eastAsia="Times New Roman" w:hAnsi="Times New Roman" w:cs="Times New Roman"/>
                <w:sz w:val="24"/>
                <w:szCs w:val="24"/>
                <w:lang w:eastAsia="ru-RU"/>
              </w:rPr>
              <w:t>Water</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for</w:t>
            </w:r>
            <w:proofErr w:type="spellEnd"/>
            <w:r w:rsidRPr="002868E5">
              <w:rPr>
                <w:rFonts w:ascii="Times New Roman" w:eastAsia="Times New Roman" w:hAnsi="Times New Roman" w:cs="Times New Roman"/>
                <w:sz w:val="24"/>
                <w:szCs w:val="24"/>
                <w:lang w:eastAsia="ru-RU"/>
              </w:rPr>
              <w:t xml:space="preserve"> </w:t>
            </w:r>
            <w:proofErr w:type="spellStart"/>
            <w:r w:rsidRPr="002868E5">
              <w:rPr>
                <w:rFonts w:ascii="Times New Roman" w:eastAsia="Times New Roman" w:hAnsi="Times New Roman" w:cs="Times New Roman"/>
                <w:sz w:val="24"/>
                <w:szCs w:val="24"/>
                <w:lang w:eastAsia="ru-RU"/>
              </w:rPr>
              <w:t>InjectionsWFI</w:t>
            </w:r>
            <w:proofErr w:type="spellEnd"/>
            <w:r w:rsidRPr="002868E5">
              <w:rPr>
                <w:rFonts w:ascii="Times New Roman" w:eastAsia="Times New Roman" w:hAnsi="Times New Roman" w:cs="Times New Roman"/>
                <w:sz w:val="24"/>
                <w:szCs w:val="24"/>
                <w:lang w:eastAsia="ru-RU"/>
              </w:rPr>
              <w:t>). Описание: Стерильная прозрачная жидкость красного цвета, без опалесценции и осадка, нетоксична по отношению к клеточным культурам человека и животных, рН при 250С: 7.3 ±0,3; 1. Среда CVTR - 3,0 мл. 2.Стерильный назальный тампон (</w:t>
            </w:r>
            <w:proofErr w:type="spellStart"/>
            <w:r w:rsidRPr="002868E5">
              <w:rPr>
                <w:rFonts w:ascii="Times New Roman" w:eastAsia="Times New Roman" w:hAnsi="Times New Roman" w:cs="Times New Roman"/>
                <w:sz w:val="24"/>
                <w:szCs w:val="24"/>
                <w:lang w:eastAsia="ru-RU"/>
              </w:rPr>
              <w:t>тупфер</w:t>
            </w:r>
            <w:proofErr w:type="spellEnd"/>
            <w:r w:rsidRPr="002868E5">
              <w:rPr>
                <w:rFonts w:ascii="Times New Roman" w:eastAsia="Times New Roman" w:hAnsi="Times New Roman" w:cs="Times New Roman"/>
                <w:sz w:val="24"/>
                <w:szCs w:val="24"/>
                <w:lang w:eastAsia="ru-RU"/>
              </w:rPr>
              <w:t xml:space="preserve"> из полиэстера) упакован индивидуально. 3. Стерильный </w:t>
            </w:r>
            <w:proofErr w:type="spellStart"/>
            <w:r w:rsidRPr="002868E5">
              <w:rPr>
                <w:rFonts w:ascii="Times New Roman" w:eastAsia="Times New Roman" w:hAnsi="Times New Roman" w:cs="Times New Roman"/>
                <w:sz w:val="24"/>
                <w:szCs w:val="24"/>
                <w:lang w:eastAsia="ru-RU"/>
              </w:rPr>
              <w:t>фарингиальный</w:t>
            </w:r>
            <w:proofErr w:type="spellEnd"/>
            <w:r w:rsidRPr="002868E5">
              <w:rPr>
                <w:rFonts w:ascii="Times New Roman" w:eastAsia="Times New Roman" w:hAnsi="Times New Roman" w:cs="Times New Roman"/>
                <w:sz w:val="24"/>
                <w:szCs w:val="24"/>
                <w:lang w:eastAsia="ru-RU"/>
              </w:rPr>
              <w:t xml:space="preserve"> тампон (</w:t>
            </w:r>
            <w:proofErr w:type="spellStart"/>
            <w:r w:rsidRPr="002868E5">
              <w:rPr>
                <w:rFonts w:ascii="Times New Roman" w:eastAsia="Times New Roman" w:hAnsi="Times New Roman" w:cs="Times New Roman"/>
                <w:sz w:val="24"/>
                <w:szCs w:val="24"/>
                <w:lang w:eastAsia="ru-RU"/>
              </w:rPr>
              <w:t>тупфер</w:t>
            </w:r>
            <w:proofErr w:type="spellEnd"/>
            <w:r w:rsidRPr="002868E5">
              <w:rPr>
                <w:rFonts w:ascii="Times New Roman" w:eastAsia="Times New Roman" w:hAnsi="Times New Roman" w:cs="Times New Roman"/>
                <w:sz w:val="24"/>
                <w:szCs w:val="24"/>
                <w:lang w:eastAsia="ru-RU"/>
              </w:rPr>
              <w:t xml:space="preserve"> из полиэстера) упакован индивидуально. 365,00 Форма выпуска: Комплект упакован в полимерно-бумажную упаковку: 1.Среда CVTR - 3,0 мл в </w:t>
            </w:r>
            <w:proofErr w:type="spellStart"/>
            <w:r w:rsidRPr="002868E5">
              <w:rPr>
                <w:rFonts w:ascii="Times New Roman" w:eastAsia="Times New Roman" w:hAnsi="Times New Roman" w:cs="Times New Roman"/>
                <w:sz w:val="24"/>
                <w:szCs w:val="24"/>
                <w:lang w:eastAsia="ru-RU"/>
              </w:rPr>
              <w:t>полистироловой</w:t>
            </w:r>
            <w:proofErr w:type="spellEnd"/>
            <w:r w:rsidRPr="002868E5">
              <w:rPr>
                <w:rFonts w:ascii="Times New Roman" w:eastAsia="Times New Roman" w:hAnsi="Times New Roman" w:cs="Times New Roman"/>
                <w:sz w:val="24"/>
                <w:szCs w:val="24"/>
                <w:lang w:eastAsia="ru-RU"/>
              </w:rPr>
              <w:t xml:space="preserve"> пробирке; 2.Стерильный назальный тампон (</w:t>
            </w:r>
            <w:proofErr w:type="spellStart"/>
            <w:r w:rsidRPr="002868E5">
              <w:rPr>
                <w:rFonts w:ascii="Times New Roman" w:eastAsia="Times New Roman" w:hAnsi="Times New Roman" w:cs="Times New Roman"/>
                <w:sz w:val="24"/>
                <w:szCs w:val="24"/>
                <w:lang w:eastAsia="ru-RU"/>
              </w:rPr>
              <w:t>тупфер</w:t>
            </w:r>
            <w:proofErr w:type="spellEnd"/>
            <w:r w:rsidRPr="002868E5">
              <w:rPr>
                <w:rFonts w:ascii="Times New Roman" w:eastAsia="Times New Roman" w:hAnsi="Times New Roman" w:cs="Times New Roman"/>
                <w:sz w:val="24"/>
                <w:szCs w:val="24"/>
                <w:lang w:eastAsia="ru-RU"/>
              </w:rPr>
              <w:t xml:space="preserve"> из полиэстера) упакован индивидуально; 3.Стерильный </w:t>
            </w:r>
            <w:proofErr w:type="spellStart"/>
            <w:r w:rsidRPr="002868E5">
              <w:rPr>
                <w:rFonts w:ascii="Times New Roman" w:eastAsia="Times New Roman" w:hAnsi="Times New Roman" w:cs="Times New Roman"/>
                <w:sz w:val="24"/>
                <w:szCs w:val="24"/>
                <w:lang w:eastAsia="ru-RU"/>
              </w:rPr>
              <w:t>фарингиальный</w:t>
            </w:r>
            <w:proofErr w:type="spellEnd"/>
            <w:r w:rsidRPr="002868E5">
              <w:rPr>
                <w:rFonts w:ascii="Times New Roman" w:eastAsia="Times New Roman" w:hAnsi="Times New Roman" w:cs="Times New Roman"/>
                <w:sz w:val="24"/>
                <w:szCs w:val="24"/>
                <w:lang w:eastAsia="ru-RU"/>
              </w:rPr>
              <w:t xml:space="preserve"> тампон (</w:t>
            </w:r>
            <w:proofErr w:type="spellStart"/>
            <w:r w:rsidRPr="002868E5">
              <w:rPr>
                <w:rFonts w:ascii="Times New Roman" w:eastAsia="Times New Roman" w:hAnsi="Times New Roman" w:cs="Times New Roman"/>
                <w:sz w:val="24"/>
                <w:szCs w:val="24"/>
                <w:lang w:eastAsia="ru-RU"/>
              </w:rPr>
              <w:t>тупфер</w:t>
            </w:r>
            <w:proofErr w:type="spellEnd"/>
            <w:r w:rsidRPr="002868E5">
              <w:rPr>
                <w:rFonts w:ascii="Times New Roman" w:eastAsia="Times New Roman" w:hAnsi="Times New Roman" w:cs="Times New Roman"/>
                <w:sz w:val="24"/>
                <w:szCs w:val="24"/>
                <w:lang w:eastAsia="ru-RU"/>
              </w:rPr>
              <w:t xml:space="preserve"> из полиэстера) упакован индивидуально. Вторичная упаковка: Комплект упакован в коробки. Каждая коробка содержит инструкцию по применению; Условия хранения\Стабильность: Пробирки с транспортной системой следует хранить и транспортировать при температуре от +2</w:t>
            </w:r>
            <w:proofErr w:type="gramStart"/>
            <w:r w:rsidRPr="002868E5">
              <w:rPr>
                <w:rFonts w:ascii="Times New Roman" w:eastAsia="Times New Roman" w:hAnsi="Times New Roman" w:cs="Times New Roman"/>
                <w:sz w:val="24"/>
                <w:szCs w:val="24"/>
                <w:lang w:eastAsia="ru-RU"/>
              </w:rPr>
              <w:t>°С</w:t>
            </w:r>
            <w:proofErr w:type="gramEnd"/>
            <w:r w:rsidRPr="002868E5">
              <w:rPr>
                <w:rFonts w:ascii="Times New Roman" w:eastAsia="Times New Roman" w:hAnsi="Times New Roman" w:cs="Times New Roman"/>
                <w:sz w:val="24"/>
                <w:szCs w:val="24"/>
                <w:lang w:eastAsia="ru-RU"/>
              </w:rPr>
              <w:t xml:space="preserve"> до +8 ° С в тёмном месте. Нарушение стабильности среды свидетельствуют: [1] изменение рН; [2] появление осадка или частиц; [3] изменение прозрачности раствора; [4] изменение цвета; Срок годности: 12 месяцев.</w:t>
            </w:r>
          </w:p>
        </w:tc>
      </w:tr>
    </w:tbl>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4D37F9" w:rsidRPr="005E16F7" w:rsidRDefault="004D37F9" w:rsidP="005E16F7">
      <w:pPr>
        <w:spacing w:line="240" w:lineRule="auto"/>
        <w:rPr>
          <w:rFonts w:ascii="Times New Roman" w:hAnsi="Times New Roman" w:cs="Times New Roman"/>
          <w:sz w:val="24"/>
          <w:szCs w:val="24"/>
        </w:rPr>
      </w:pPr>
    </w:p>
    <w:p w:rsidR="001137E4" w:rsidRPr="005E16F7" w:rsidRDefault="001137E4" w:rsidP="005E16F7">
      <w:pPr>
        <w:spacing w:line="240" w:lineRule="auto"/>
        <w:rPr>
          <w:rFonts w:ascii="Times New Roman" w:hAnsi="Times New Roman" w:cs="Times New Roman"/>
          <w:sz w:val="24"/>
          <w:szCs w:val="24"/>
        </w:rPr>
      </w:pP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A0A8A"/>
    <w:rsid w:val="000A3196"/>
    <w:rsid w:val="000B1353"/>
    <w:rsid w:val="000D00F3"/>
    <w:rsid w:val="000E1CC0"/>
    <w:rsid w:val="001137E4"/>
    <w:rsid w:val="00204106"/>
    <w:rsid w:val="00220B1F"/>
    <w:rsid w:val="0023390B"/>
    <w:rsid w:val="00236CD8"/>
    <w:rsid w:val="002868E5"/>
    <w:rsid w:val="002A4107"/>
    <w:rsid w:val="002D18D1"/>
    <w:rsid w:val="00342D96"/>
    <w:rsid w:val="00373D7E"/>
    <w:rsid w:val="003907AF"/>
    <w:rsid w:val="00396411"/>
    <w:rsid w:val="003D6F93"/>
    <w:rsid w:val="003F3C5F"/>
    <w:rsid w:val="004211F4"/>
    <w:rsid w:val="00450A47"/>
    <w:rsid w:val="0048329F"/>
    <w:rsid w:val="004D2FEC"/>
    <w:rsid w:val="004D37F9"/>
    <w:rsid w:val="004F74DC"/>
    <w:rsid w:val="00530569"/>
    <w:rsid w:val="005401C9"/>
    <w:rsid w:val="005E16F7"/>
    <w:rsid w:val="0070369C"/>
    <w:rsid w:val="00720B9A"/>
    <w:rsid w:val="007A1275"/>
    <w:rsid w:val="00865BF3"/>
    <w:rsid w:val="00882357"/>
    <w:rsid w:val="008A1D4A"/>
    <w:rsid w:val="008B724E"/>
    <w:rsid w:val="008C08E5"/>
    <w:rsid w:val="008D2B21"/>
    <w:rsid w:val="009F56F2"/>
    <w:rsid w:val="00A24094"/>
    <w:rsid w:val="00A3076C"/>
    <w:rsid w:val="00A41C80"/>
    <w:rsid w:val="00B21665"/>
    <w:rsid w:val="00B37309"/>
    <w:rsid w:val="00B46E72"/>
    <w:rsid w:val="00B842C9"/>
    <w:rsid w:val="00BE7285"/>
    <w:rsid w:val="00C34AA8"/>
    <w:rsid w:val="00C54539"/>
    <w:rsid w:val="00C635ED"/>
    <w:rsid w:val="00C66869"/>
    <w:rsid w:val="00C75B45"/>
    <w:rsid w:val="00C96379"/>
    <w:rsid w:val="00CB38B6"/>
    <w:rsid w:val="00CB6328"/>
    <w:rsid w:val="00D42938"/>
    <w:rsid w:val="00D46DC0"/>
    <w:rsid w:val="00D7716D"/>
    <w:rsid w:val="00DC738D"/>
    <w:rsid w:val="00DD5B3F"/>
    <w:rsid w:val="00E201C3"/>
    <w:rsid w:val="00E3700F"/>
    <w:rsid w:val="00E513E6"/>
    <w:rsid w:val="00EF1A41"/>
    <w:rsid w:val="00F51607"/>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27</Pages>
  <Words>12012</Words>
  <Characters>68474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2022-01-12T03:58:00Z</cp:lastPrinted>
  <dcterms:created xsi:type="dcterms:W3CDTF">2022-01-10T08:44:00Z</dcterms:created>
  <dcterms:modified xsi:type="dcterms:W3CDTF">2022-02-04T02:51:00Z</dcterms:modified>
</cp:coreProperties>
</file>