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235649"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r w:rsidR="00674D17">
        <w:rPr>
          <w:rFonts w:ascii="Times New Roman" w:eastAsia="Times New Roman" w:hAnsi="Times New Roman" w:cs="Times New Roman"/>
          <w:sz w:val="24"/>
          <w:szCs w:val="24"/>
          <w:lang w:eastAsia="ar-SA"/>
        </w:rPr>
        <w:t xml:space="preserve"> </w:t>
      </w:r>
      <w:proofErr w:type="spellStart"/>
      <w:r w:rsidR="00235649">
        <w:rPr>
          <w:rFonts w:ascii="Times New Roman" w:eastAsia="Times New Roman" w:hAnsi="Times New Roman" w:cs="Times New Roman"/>
          <w:sz w:val="24"/>
          <w:szCs w:val="24"/>
          <w:lang w:eastAsia="ar-SA"/>
        </w:rPr>
        <w:t>Кузембаев</w:t>
      </w:r>
      <w:proofErr w:type="spellEnd"/>
      <w:r w:rsidR="00235649">
        <w:rPr>
          <w:rFonts w:ascii="Times New Roman" w:eastAsia="Times New Roman" w:hAnsi="Times New Roman" w:cs="Times New Roman"/>
          <w:sz w:val="24"/>
          <w:szCs w:val="24"/>
          <w:lang w:eastAsia="ar-SA"/>
        </w:rPr>
        <w:t xml:space="preserve"> М.С</w:t>
      </w:r>
      <w:r w:rsidR="00674D17">
        <w:rPr>
          <w:rFonts w:ascii="Times New Roman" w:eastAsia="Times New Roman" w:hAnsi="Times New Roman" w:cs="Times New Roman"/>
          <w:sz w:val="24"/>
          <w:szCs w:val="24"/>
          <w:lang w:eastAsia="ar-SA"/>
        </w:rPr>
        <w:t>.</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A43133">
        <w:rPr>
          <w:rFonts w:ascii="Times New Roman" w:eastAsia="Times New Roman" w:hAnsi="Times New Roman" w:cs="Times New Roman"/>
          <w:sz w:val="24"/>
          <w:szCs w:val="24"/>
          <w:highlight w:val="yellow"/>
          <w:lang w:eastAsia="ru-RU"/>
        </w:rPr>
        <w:t>7</w:t>
      </w:r>
      <w:r w:rsidR="00F93C8C">
        <w:rPr>
          <w:rFonts w:ascii="Times New Roman" w:eastAsia="Times New Roman" w:hAnsi="Times New Roman" w:cs="Times New Roman"/>
          <w:sz w:val="24"/>
          <w:szCs w:val="24"/>
          <w:highlight w:val="yellow"/>
          <w:lang w:eastAsia="ru-RU"/>
        </w:rPr>
        <w:t>4</w:t>
      </w:r>
      <w:r w:rsidR="007E5457">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eastAsia="ru-RU"/>
        </w:rPr>
        <w:t xml:space="preserve">- О  </w:t>
      </w:r>
    </w:p>
    <w:p w:rsid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A43133">
        <w:rPr>
          <w:rFonts w:ascii="Times New Roman" w:eastAsia="Times New Roman" w:hAnsi="Times New Roman" w:cs="Times New Roman"/>
          <w:sz w:val="24"/>
          <w:szCs w:val="24"/>
          <w:highlight w:val="yellow"/>
          <w:lang w:eastAsia="ru-RU"/>
        </w:rPr>
        <w:t>25</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235649">
        <w:rPr>
          <w:rFonts w:ascii="Times New Roman" w:eastAsia="Times New Roman" w:hAnsi="Times New Roman" w:cs="Times New Roman"/>
          <w:sz w:val="24"/>
          <w:szCs w:val="24"/>
          <w:highlight w:val="yellow"/>
          <w:lang w:val="kk-KZ" w:eastAsia="ru-RU"/>
        </w:rPr>
        <w:t>мая</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157F15">
        <w:rPr>
          <w:rFonts w:ascii="Times New Roman" w:eastAsia="Times New Roman" w:hAnsi="Times New Roman" w:cs="Times New Roman"/>
          <w:sz w:val="24"/>
          <w:szCs w:val="24"/>
          <w:highlight w:val="yellow"/>
          <w:lang w:eastAsia="ru-RU"/>
        </w:rPr>
        <w:t xml:space="preserve">составляет </w:t>
      </w:r>
      <w:r w:rsidR="005569F4" w:rsidRPr="00157F15">
        <w:rPr>
          <w:rFonts w:ascii="Times New Roman" w:eastAsia="Times New Roman" w:hAnsi="Times New Roman" w:cs="Times New Roman"/>
          <w:sz w:val="24"/>
          <w:szCs w:val="24"/>
          <w:highlight w:val="yellow"/>
          <w:lang w:eastAsia="ru-RU"/>
        </w:rPr>
        <w:t>8 835 000</w:t>
      </w:r>
      <w:r w:rsidR="001B041E" w:rsidRPr="00157F15">
        <w:rPr>
          <w:rFonts w:ascii="Times New Roman" w:eastAsia="Times New Roman" w:hAnsi="Times New Roman" w:cs="Times New Roman"/>
          <w:sz w:val="24"/>
          <w:szCs w:val="24"/>
          <w:highlight w:val="yellow"/>
          <w:lang w:eastAsia="ru-RU"/>
        </w:rPr>
        <w:t>,00</w:t>
      </w:r>
      <w:r w:rsidRPr="00157F15">
        <w:rPr>
          <w:rFonts w:ascii="Times New Roman" w:eastAsia="Times New Roman" w:hAnsi="Times New Roman" w:cs="Times New Roman"/>
          <w:sz w:val="24"/>
          <w:szCs w:val="24"/>
          <w:highlight w:val="yellow"/>
          <w:lang w:eastAsia="ru-RU"/>
        </w:rPr>
        <w:t xml:space="preserve"> тенге (</w:t>
      </w:r>
      <w:r w:rsidR="00157F15" w:rsidRPr="00157F15">
        <w:rPr>
          <w:rFonts w:ascii="Times New Roman" w:eastAsia="Times New Roman" w:hAnsi="Times New Roman" w:cs="Times New Roman"/>
          <w:sz w:val="24"/>
          <w:szCs w:val="24"/>
          <w:highlight w:val="yellow"/>
          <w:lang w:val="kk-KZ" w:eastAsia="ru-RU"/>
        </w:rPr>
        <w:t>восемь миллионов восемьсот тридцать пять тысяч</w:t>
      </w:r>
      <w:r w:rsidR="00D46DC0" w:rsidRPr="00157F15">
        <w:rPr>
          <w:rFonts w:ascii="Times New Roman" w:eastAsia="Times New Roman" w:hAnsi="Times New Roman" w:cs="Times New Roman"/>
          <w:sz w:val="24"/>
          <w:szCs w:val="24"/>
          <w:highlight w:val="yellow"/>
          <w:lang w:eastAsia="ru-RU"/>
        </w:rPr>
        <w:t>) те</w:t>
      </w:r>
      <w:r w:rsidR="00D46DC0" w:rsidRPr="00B31767">
        <w:rPr>
          <w:rFonts w:ascii="Times New Roman" w:eastAsia="Times New Roman" w:hAnsi="Times New Roman" w:cs="Times New Roman"/>
          <w:sz w:val="24"/>
          <w:szCs w:val="24"/>
          <w:highlight w:val="yellow"/>
          <w:lang w:eastAsia="ru-RU"/>
        </w:rPr>
        <w:t>нге 0</w:t>
      </w:r>
      <w:r w:rsidRPr="00B31767">
        <w:rPr>
          <w:rFonts w:ascii="Times New Roman" w:eastAsia="Times New Roman" w:hAnsi="Times New Roman" w:cs="Times New Roman"/>
          <w:sz w:val="24"/>
          <w:szCs w:val="24"/>
          <w:highlight w:val="yellow"/>
          <w:lang w:eastAsia="ru-RU"/>
        </w:rPr>
        <w:t xml:space="preserve">0 </w:t>
      </w:r>
      <w:proofErr w:type="spellStart"/>
      <w:r w:rsidRPr="00B31767">
        <w:rPr>
          <w:rFonts w:ascii="Times New Roman" w:eastAsia="Times New Roman" w:hAnsi="Times New Roman" w:cs="Times New Roman"/>
          <w:sz w:val="24"/>
          <w:szCs w:val="24"/>
          <w:highlight w:val="yellow"/>
          <w:lang w:eastAsia="ru-RU"/>
        </w:rPr>
        <w:t>тиын</w:t>
      </w:r>
      <w:proofErr w:type="spellEnd"/>
      <w:r w:rsidRPr="00B3176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6"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7"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8"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9"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10"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1"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2"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3"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4"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5"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6"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7"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8"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9"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20"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1"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2"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3"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907E64">
        <w:rPr>
          <w:rFonts w:ascii="Times New Roman" w:eastAsia="Times New Roman" w:hAnsi="Times New Roman" w:cs="Times New Roman"/>
          <w:b/>
          <w:sz w:val="24"/>
          <w:szCs w:val="24"/>
          <w:highlight w:val="yellow"/>
          <w:lang w:val="kk-KZ" w:eastAsia="ru-RU"/>
        </w:rPr>
        <w:t>«</w:t>
      </w:r>
      <w:r w:rsidR="006C1B2C">
        <w:rPr>
          <w:rFonts w:ascii="Times New Roman" w:eastAsia="Times New Roman" w:hAnsi="Times New Roman" w:cs="Times New Roman"/>
          <w:b/>
          <w:sz w:val="24"/>
          <w:szCs w:val="24"/>
          <w:highlight w:val="yellow"/>
          <w:lang w:val="kk-KZ" w:eastAsia="ru-RU"/>
        </w:rPr>
        <w:t>1</w:t>
      </w:r>
      <w:r w:rsidR="006508F6">
        <w:rPr>
          <w:rFonts w:ascii="Times New Roman" w:eastAsia="Times New Roman" w:hAnsi="Times New Roman" w:cs="Times New Roman"/>
          <w:b/>
          <w:sz w:val="24"/>
          <w:szCs w:val="24"/>
          <w:highlight w:val="yellow"/>
          <w:lang w:val="kk-KZ" w:eastAsia="ru-RU"/>
        </w:rPr>
        <w:t>4</w:t>
      </w:r>
      <w:r w:rsidR="006C1B2C">
        <w:rPr>
          <w:rFonts w:ascii="Times New Roman" w:eastAsia="Times New Roman" w:hAnsi="Times New Roman" w:cs="Times New Roman"/>
          <w:b/>
          <w:sz w:val="24"/>
          <w:szCs w:val="24"/>
          <w:highlight w:val="yellow"/>
          <w:lang w:val="kk-KZ" w:eastAsia="ru-RU"/>
        </w:rPr>
        <w:t>» июня</w:t>
      </w:r>
      <w:r w:rsidR="00907E64" w:rsidRPr="00907E64">
        <w:rPr>
          <w:rFonts w:ascii="Times New Roman" w:eastAsia="Times New Roman" w:hAnsi="Times New Roman" w:cs="Times New Roman"/>
          <w:b/>
          <w:sz w:val="24"/>
          <w:szCs w:val="24"/>
          <w:highlight w:val="yellow"/>
          <w:lang w:val="kk-KZ" w:eastAsia="ru-RU"/>
        </w:rPr>
        <w:t xml:space="preserve"> </w:t>
      </w:r>
      <w:r w:rsidRPr="00907E64">
        <w:rPr>
          <w:rFonts w:ascii="Times New Roman" w:eastAsia="Times New Roman" w:hAnsi="Times New Roman" w:cs="Times New Roman"/>
          <w:b/>
          <w:sz w:val="24"/>
          <w:szCs w:val="24"/>
          <w:highlight w:val="yellow"/>
          <w:lang w:eastAsia="ru-RU"/>
        </w:rPr>
        <w:t xml:space="preserve">2022 </w:t>
      </w:r>
      <w:r w:rsidRPr="005E16F7">
        <w:rPr>
          <w:rFonts w:ascii="Times New Roman" w:eastAsia="Times New Roman" w:hAnsi="Times New Roman" w:cs="Times New Roman"/>
          <w:b/>
          <w:sz w:val="24"/>
          <w:szCs w:val="24"/>
          <w:highlight w:val="yellow"/>
          <w:lang w:eastAsia="ru-RU"/>
        </w:rPr>
        <w:t>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006C1B2C" w:rsidRPr="006C1B2C">
        <w:rPr>
          <w:rFonts w:ascii="Times New Roman" w:eastAsia="Times New Roman" w:hAnsi="Times New Roman" w:cs="Times New Roman"/>
          <w:b/>
          <w:color w:val="FF0000"/>
          <w:sz w:val="24"/>
          <w:szCs w:val="24"/>
          <w:lang w:val="kk-KZ" w:eastAsia="ar-SA"/>
        </w:rPr>
        <w:t>«14» июня</w:t>
      </w:r>
      <w:r w:rsidR="00907E64" w:rsidRPr="00907E64">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006C1B2C" w:rsidRPr="006C1B2C">
        <w:rPr>
          <w:rFonts w:ascii="Times New Roman" w:eastAsia="Times New Roman" w:hAnsi="Times New Roman" w:cs="Times New Roman"/>
          <w:b/>
          <w:color w:val="FF0000"/>
          <w:sz w:val="24"/>
          <w:szCs w:val="24"/>
          <w:lang w:val="kk-KZ" w:eastAsia="ar-SA"/>
        </w:rPr>
        <w:t>«14» июня</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 xml:space="preserve">с 10.00 часов до 10.30 часов  </w:t>
      </w:r>
      <w:r w:rsidR="006C1B2C" w:rsidRPr="006C1B2C">
        <w:rPr>
          <w:rFonts w:ascii="Times New Roman" w:eastAsia="Times New Roman" w:hAnsi="Times New Roman" w:cs="Times New Roman"/>
          <w:color w:val="FF0000"/>
          <w:sz w:val="24"/>
          <w:szCs w:val="24"/>
          <w:lang w:eastAsia="ar-SA"/>
        </w:rPr>
        <w:t xml:space="preserve">«14» июня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2D76BA" w:rsidRDefault="005E16F7" w:rsidP="002D76BA">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 xml:space="preserve">Гарантийное обеспечение тендерной заявки (далее </w:t>
      </w:r>
      <w:r w:rsidR="002D76BA">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 xml:space="preserve">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r w:rsidR="002D76BA">
        <w:rPr>
          <w:rFonts w:ascii="Times New Roman" w:eastAsia="Times New Roman" w:hAnsi="Times New Roman" w:cs="Times New Roman"/>
          <w:b/>
          <w:sz w:val="24"/>
          <w:szCs w:val="24"/>
          <w:lang w:eastAsia="ru-RU"/>
        </w:rPr>
        <w:t>«</w:t>
      </w:r>
      <w:proofErr w:type="spellStart"/>
      <w:r w:rsidRPr="005E16F7">
        <w:rPr>
          <w:rFonts w:ascii="Times New Roman" w:eastAsia="Times New Roman" w:hAnsi="Times New Roman" w:cs="Times New Roman"/>
          <w:b/>
          <w:sz w:val="24"/>
          <w:szCs w:val="24"/>
          <w:lang w:eastAsia="ru-RU"/>
        </w:rPr>
        <w:t>ForteBank</w:t>
      </w:r>
      <w:proofErr w:type="spellEnd"/>
      <w:r w:rsidR="002D76BA">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7"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электронного правительства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или веб-приложения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кабинет налогоплательщика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13) непредставления при необходимости копии акта санитарно-эпидемиологического обследования о наличии </w:t>
      </w:r>
      <w:r w:rsidR="002D76BA">
        <w:rPr>
          <w:rFonts w:ascii="Times New Roman" w:eastAsia="Times New Roman" w:hAnsi="Times New Roman" w:cs="Times New Roman"/>
          <w:sz w:val="24"/>
          <w:szCs w:val="24"/>
          <w:lang w:eastAsia="ru-RU"/>
        </w:rPr>
        <w:t>«</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8"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9"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30"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1"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2D76BA" w:rsidRDefault="005E16F7" w:rsidP="002D76BA">
      <w:pPr>
        <w:pStyle w:val="a6"/>
        <w:numPr>
          <w:ilvl w:val="0"/>
          <w:numId w:val="2"/>
        </w:numPr>
        <w:tabs>
          <w:tab w:val="num" w:pos="0"/>
        </w:tabs>
        <w:suppressAutoHyphens/>
        <w:spacing w:after="0" w:line="240" w:lineRule="auto"/>
        <w:jc w:val="both"/>
        <w:rPr>
          <w:rFonts w:ascii="Times New Roman" w:eastAsia="Times New Roman" w:hAnsi="Times New Roman" w:cs="Times New Roman"/>
          <w:i/>
          <w:sz w:val="24"/>
          <w:szCs w:val="24"/>
          <w:lang w:eastAsia="ru-RU"/>
        </w:rPr>
      </w:pPr>
      <w:r w:rsidRPr="002D76BA">
        <w:rPr>
          <w:rFonts w:ascii="Times New Roman" w:eastAsia="Times New Roman" w:hAnsi="Times New Roman" w:cs="Times New Roman"/>
          <w:sz w:val="24"/>
          <w:szCs w:val="24"/>
          <w:lang w:eastAsia="ru-RU"/>
        </w:rPr>
        <w:t>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2D76BA">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2D76BA" w:rsidRDefault="005E16F7" w:rsidP="002D76BA">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2"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r w:rsidR="002D76BA">
        <w:rPr>
          <w:rFonts w:ascii="Times New Roman" w:eastAsia="Times New Roman" w:hAnsi="Times New Roman" w:cs="Times New Roman"/>
          <w:sz w:val="24"/>
          <w:szCs w:val="24"/>
          <w:lang w:eastAsia="ru-RU"/>
        </w:rPr>
        <w:t>«</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2D76BA" w:rsidRDefault="005E16F7" w:rsidP="002D76BA">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3"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E451D3" w:rsidRPr="005E16F7" w:rsidTr="000E54CA">
        <w:trPr>
          <w:trHeight w:val="2132"/>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E0903" w:rsidRDefault="00CC679C"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451D3" w:rsidRPr="00B83BBF" w:rsidRDefault="00F93C8C" w:rsidP="005569F4">
            <w:pPr>
              <w:spacing w:after="0" w:line="240" w:lineRule="auto"/>
              <w:jc w:val="both"/>
              <w:rPr>
                <w:rFonts w:ascii="Times New Roman" w:hAnsi="Times New Roman" w:cs="Times New Roman"/>
                <w:sz w:val="24"/>
                <w:szCs w:val="24"/>
              </w:rPr>
            </w:pPr>
            <w:r>
              <w:t xml:space="preserve"> </w:t>
            </w:r>
            <w:r w:rsidRPr="00F93C8C">
              <w:rPr>
                <w:rFonts w:ascii="Times New Roman" w:hAnsi="Times New Roman" w:cs="Times New Roman"/>
                <w:sz w:val="24"/>
                <w:szCs w:val="24"/>
              </w:rPr>
              <w:t>Набор реагентов  для выявления антител к ВИЧ 1 и ВИЧ 2 и антигена ВИЧ 1 (р24) в сыворотке или плазме крови человека для иммуноферментного анализа на 480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E0903" w:rsidRDefault="00E451D3" w:rsidP="005569F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60319" w:rsidRDefault="00E60319" w:rsidP="005569F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57</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5569F4" w:rsidRDefault="005569F4" w:rsidP="005569F4">
            <w:pPr>
              <w:spacing w:after="0" w:line="240" w:lineRule="auto"/>
              <w:jc w:val="center"/>
              <w:rPr>
                <w:rFonts w:ascii="Times New Roman" w:eastAsia="Times New Roman" w:hAnsi="Times New Roman" w:cs="Times New Roman"/>
                <w:sz w:val="24"/>
                <w:szCs w:val="24"/>
                <w:lang w:eastAsia="ru-RU"/>
              </w:rPr>
            </w:pPr>
            <w:r w:rsidRPr="005569F4">
              <w:rPr>
                <w:rFonts w:ascii="Times New Roman" w:eastAsia="Times New Roman" w:hAnsi="Times New Roman" w:cs="Times New Roman"/>
                <w:sz w:val="24"/>
                <w:szCs w:val="24"/>
                <w:lang w:val="en-US" w:eastAsia="ru-RU"/>
              </w:rPr>
              <w:t>8 835</w:t>
            </w:r>
            <w:r>
              <w:rPr>
                <w:rFonts w:ascii="Times New Roman" w:eastAsia="Times New Roman" w:hAnsi="Times New Roman" w:cs="Times New Roman"/>
                <w:sz w:val="24"/>
                <w:szCs w:val="24"/>
                <w:lang w:val="en-US" w:eastAsia="ru-RU"/>
              </w:rPr>
              <w:t> </w:t>
            </w:r>
            <w:r w:rsidRPr="005569F4">
              <w:rPr>
                <w:rFonts w:ascii="Times New Roman" w:eastAsia="Times New Roman" w:hAnsi="Times New Roman" w:cs="Times New Roman"/>
                <w:sz w:val="24"/>
                <w:szCs w:val="24"/>
                <w:lang w:val="en-US" w:eastAsia="ru-RU"/>
              </w:rPr>
              <w:t>000</w:t>
            </w:r>
            <w:r>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E0903" w:rsidRDefault="00E451D3" w:rsidP="005569F4">
            <w:pPr>
              <w:spacing w:after="0" w:line="240" w:lineRule="auto"/>
              <w:jc w:val="center"/>
              <w:rPr>
                <w:rFonts w:ascii="Times New Roman" w:eastAsia="Times New Roman" w:hAnsi="Times New Roman" w:cs="Times New Roman"/>
                <w:color w:val="000000"/>
                <w:sz w:val="24"/>
                <w:szCs w:val="24"/>
                <w:highlight w:val="yellow"/>
                <w:lang w:eastAsia="ru-RU"/>
              </w:rPr>
            </w:pPr>
            <w:r w:rsidRPr="000E54CA">
              <w:rPr>
                <w:rFonts w:ascii="Times New Roman" w:eastAsia="Times New Roman" w:hAnsi="Times New Roman" w:cs="Times New Roman"/>
                <w:color w:val="000000"/>
                <w:sz w:val="24"/>
                <w:szCs w:val="24"/>
                <w:lang w:eastAsia="ru-RU"/>
              </w:rPr>
              <w:t xml:space="preserve">30 календарных дней </w:t>
            </w:r>
            <w:proofErr w:type="gramStart"/>
            <w:r w:rsidRPr="000E54CA">
              <w:rPr>
                <w:rFonts w:ascii="Times New Roman" w:eastAsia="Times New Roman" w:hAnsi="Times New Roman" w:cs="Times New Roman"/>
                <w:color w:val="000000"/>
                <w:sz w:val="24"/>
                <w:szCs w:val="24"/>
                <w:lang w:eastAsia="ru-RU"/>
              </w:rPr>
              <w:t>с даты подписания</w:t>
            </w:r>
            <w:proofErr w:type="gramEnd"/>
            <w:r w:rsidRPr="000E54CA">
              <w:rPr>
                <w:rFonts w:ascii="Times New Roman" w:eastAsia="Times New Roman" w:hAnsi="Times New Roman" w:cs="Times New Roman"/>
                <w:color w:val="000000"/>
                <w:sz w:val="24"/>
                <w:szCs w:val="24"/>
                <w:lang w:eastAsia="ru-RU"/>
              </w:rPr>
              <w:t xml:space="preserve"> договора</w:t>
            </w:r>
          </w:p>
        </w:tc>
        <w:tc>
          <w:tcPr>
            <w:tcW w:w="1134"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E0903" w:rsidRDefault="00E451D3" w:rsidP="005569F4">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color w:val="000000"/>
                <w:sz w:val="24"/>
                <w:szCs w:val="24"/>
                <w:lang w:eastAsia="ru-RU"/>
              </w:rPr>
              <w:t xml:space="preserve">г. </w:t>
            </w:r>
            <w:proofErr w:type="spellStart"/>
            <w:r w:rsidRPr="00EE0903">
              <w:rPr>
                <w:rFonts w:ascii="Times New Roman" w:eastAsia="Times New Roman" w:hAnsi="Times New Roman" w:cs="Times New Roman"/>
                <w:color w:val="000000"/>
                <w:sz w:val="24"/>
                <w:szCs w:val="24"/>
                <w:lang w:eastAsia="ru-RU"/>
              </w:rPr>
              <w:t>Костанай</w:t>
            </w:r>
            <w:proofErr w:type="spellEnd"/>
            <w:r w:rsidRPr="00EE090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Pr="00EE0903" w:rsidRDefault="00E451D3"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451D3" w:rsidRDefault="00E451D3" w:rsidP="000E54CA">
            <w:pPr>
              <w:jc w:val="center"/>
            </w:pPr>
            <w:r w:rsidRPr="002829FB">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1752"/>
        <w:gridCol w:w="7228"/>
      </w:tblGrid>
      <w:tr w:rsidR="007A1275" w:rsidRPr="005E16F7" w:rsidTr="00AF06A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1752"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722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AF06A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1752"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7228"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BF4652"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BF4652" w:rsidRPr="005E16F7"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7716F3" w:rsidRDefault="00F93C8C" w:rsidP="00FF0A53">
            <w:pPr>
              <w:spacing w:after="0" w:line="240" w:lineRule="auto"/>
              <w:jc w:val="both"/>
              <w:rPr>
                <w:rFonts w:ascii="Times New Roman" w:hAnsi="Times New Roman" w:cs="Times New Roman"/>
                <w:sz w:val="24"/>
                <w:szCs w:val="24"/>
                <w:lang w:val="kk-KZ"/>
              </w:rPr>
            </w:pPr>
            <w:r w:rsidRPr="00F93C8C">
              <w:rPr>
                <w:rFonts w:ascii="Times New Roman" w:hAnsi="Times New Roman" w:cs="Times New Roman"/>
                <w:sz w:val="24"/>
                <w:szCs w:val="24"/>
                <w:lang w:val="kk-KZ"/>
              </w:rPr>
              <w:t>Набор реагентов  для выявления антител к ВИЧ 1 и ВИЧ 2 и антигена ВИЧ 1 (р24) в сыворотке или плазме крови человека для иммуноферментного анализа на 480 определений</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F93C8C" w:rsidRPr="00F93C8C" w:rsidRDefault="00F93C8C" w:rsidP="00F93C8C">
            <w:pPr>
              <w:spacing w:after="0" w:line="240" w:lineRule="auto"/>
              <w:jc w:val="both"/>
              <w:rPr>
                <w:rFonts w:ascii="Times New Roman" w:hAnsi="Times New Roman" w:cs="Times New Roman"/>
                <w:sz w:val="24"/>
                <w:szCs w:val="24"/>
              </w:rPr>
            </w:pPr>
            <w:r w:rsidRPr="00F93C8C">
              <w:rPr>
                <w:rFonts w:ascii="Times New Roman" w:hAnsi="Times New Roman" w:cs="Times New Roman"/>
                <w:sz w:val="24"/>
                <w:szCs w:val="24"/>
              </w:rPr>
              <w:t xml:space="preserve">Тест-система </w:t>
            </w:r>
            <w:proofErr w:type="spellStart"/>
            <w:r w:rsidRPr="00F93C8C">
              <w:rPr>
                <w:rFonts w:ascii="Times New Roman" w:hAnsi="Times New Roman" w:cs="Times New Roman"/>
                <w:sz w:val="24"/>
                <w:szCs w:val="24"/>
              </w:rPr>
              <w:t>in</w:t>
            </w:r>
            <w:proofErr w:type="spellEnd"/>
            <w:r w:rsidRPr="00F93C8C">
              <w:rPr>
                <w:rFonts w:ascii="Times New Roman" w:hAnsi="Times New Roman" w:cs="Times New Roman"/>
                <w:sz w:val="24"/>
                <w:szCs w:val="24"/>
              </w:rPr>
              <w:t xml:space="preserve"> </w:t>
            </w:r>
            <w:proofErr w:type="spellStart"/>
            <w:r w:rsidRPr="00F93C8C">
              <w:rPr>
                <w:rFonts w:ascii="Times New Roman" w:hAnsi="Times New Roman" w:cs="Times New Roman"/>
                <w:sz w:val="24"/>
                <w:szCs w:val="24"/>
              </w:rPr>
              <w:t>vitro</w:t>
            </w:r>
            <w:proofErr w:type="spellEnd"/>
            <w:r w:rsidRPr="00F93C8C">
              <w:rPr>
                <w:rFonts w:ascii="Times New Roman" w:hAnsi="Times New Roman" w:cs="Times New Roman"/>
                <w:sz w:val="24"/>
                <w:szCs w:val="24"/>
              </w:rPr>
              <w:t xml:space="preserve"> диагностическая для выявления антител к ВИЧ 1 и ВИЧ 2 и антигена ВИЧ 1 (р24) в сыворотке или плазме крови человека в </w:t>
            </w:r>
            <w:proofErr w:type="spellStart"/>
            <w:r w:rsidRPr="00F93C8C">
              <w:rPr>
                <w:rFonts w:ascii="Times New Roman" w:hAnsi="Times New Roman" w:cs="Times New Roman"/>
                <w:sz w:val="24"/>
                <w:szCs w:val="24"/>
              </w:rPr>
              <w:t>микропланшетном</w:t>
            </w:r>
            <w:proofErr w:type="spellEnd"/>
            <w:r w:rsidRPr="00F93C8C">
              <w:rPr>
                <w:rFonts w:ascii="Times New Roman" w:hAnsi="Times New Roman" w:cs="Times New Roman"/>
                <w:sz w:val="24"/>
                <w:szCs w:val="24"/>
              </w:rPr>
              <w:t xml:space="preserve"> формате (5 </w:t>
            </w:r>
            <w:proofErr w:type="spellStart"/>
            <w:r w:rsidRPr="00F93C8C">
              <w:rPr>
                <w:rFonts w:ascii="Times New Roman" w:hAnsi="Times New Roman" w:cs="Times New Roman"/>
                <w:sz w:val="24"/>
                <w:szCs w:val="24"/>
              </w:rPr>
              <w:t>микропланшет</w:t>
            </w:r>
            <w:proofErr w:type="spellEnd"/>
            <w:r w:rsidRPr="00F93C8C">
              <w:rPr>
                <w:rFonts w:ascii="Times New Roman" w:hAnsi="Times New Roman" w:cs="Times New Roman"/>
                <w:sz w:val="24"/>
                <w:szCs w:val="24"/>
              </w:rPr>
              <w:t xml:space="preserve"> на 96 тестов, </w:t>
            </w:r>
            <w:proofErr w:type="spellStart"/>
            <w:r w:rsidRPr="00F93C8C">
              <w:rPr>
                <w:rFonts w:ascii="Times New Roman" w:hAnsi="Times New Roman" w:cs="Times New Roman"/>
                <w:sz w:val="24"/>
                <w:szCs w:val="24"/>
              </w:rPr>
              <w:t>стрипованный</w:t>
            </w:r>
            <w:proofErr w:type="spellEnd"/>
            <w:r w:rsidRPr="00F93C8C">
              <w:rPr>
                <w:rFonts w:ascii="Times New Roman" w:hAnsi="Times New Roman" w:cs="Times New Roman"/>
                <w:sz w:val="24"/>
                <w:szCs w:val="24"/>
              </w:rPr>
              <w:t xml:space="preserve"> по 8 лунок). Минимальная определяемая концентрация p-24 антигена не хуже 4,2 </w:t>
            </w:r>
            <w:proofErr w:type="spellStart"/>
            <w:r w:rsidRPr="00F93C8C">
              <w:rPr>
                <w:rFonts w:ascii="Times New Roman" w:hAnsi="Times New Roman" w:cs="Times New Roman"/>
                <w:sz w:val="24"/>
                <w:szCs w:val="24"/>
              </w:rPr>
              <w:t>пг</w:t>
            </w:r>
            <w:proofErr w:type="spellEnd"/>
            <w:r w:rsidRPr="00F93C8C">
              <w:rPr>
                <w:rFonts w:ascii="Times New Roman" w:hAnsi="Times New Roman" w:cs="Times New Roman"/>
                <w:sz w:val="24"/>
                <w:szCs w:val="24"/>
              </w:rPr>
              <w:t>/мл. Специфичность на донорском контингенте не ниже 99,95%. Коэффициент вариации (</w:t>
            </w:r>
            <w:proofErr w:type="spellStart"/>
            <w:r w:rsidRPr="00F93C8C">
              <w:rPr>
                <w:rFonts w:ascii="Times New Roman" w:hAnsi="Times New Roman" w:cs="Times New Roman"/>
                <w:sz w:val="24"/>
                <w:szCs w:val="24"/>
              </w:rPr>
              <w:t>межсерийная</w:t>
            </w:r>
            <w:proofErr w:type="spellEnd"/>
            <w:r w:rsidRPr="00F93C8C">
              <w:rPr>
                <w:rFonts w:ascii="Times New Roman" w:hAnsi="Times New Roman" w:cs="Times New Roman"/>
                <w:sz w:val="24"/>
                <w:szCs w:val="24"/>
              </w:rPr>
              <w:t xml:space="preserve"> </w:t>
            </w:r>
            <w:proofErr w:type="spellStart"/>
            <w:r w:rsidRPr="00F93C8C">
              <w:rPr>
                <w:rFonts w:ascii="Times New Roman" w:hAnsi="Times New Roman" w:cs="Times New Roman"/>
                <w:sz w:val="24"/>
                <w:szCs w:val="24"/>
              </w:rPr>
              <w:t>воспроизводимость</w:t>
            </w:r>
            <w:proofErr w:type="spellEnd"/>
            <w:r w:rsidRPr="00F93C8C">
              <w:rPr>
                <w:rFonts w:ascii="Times New Roman" w:hAnsi="Times New Roman" w:cs="Times New Roman"/>
                <w:sz w:val="24"/>
                <w:szCs w:val="24"/>
              </w:rPr>
              <w:t xml:space="preserve">) не более 8,5%. Объем исследуемого образца, не более 80 </w:t>
            </w:r>
            <w:proofErr w:type="spellStart"/>
            <w:r w:rsidRPr="00F93C8C">
              <w:rPr>
                <w:rFonts w:ascii="Times New Roman" w:hAnsi="Times New Roman" w:cs="Times New Roman"/>
                <w:sz w:val="24"/>
                <w:szCs w:val="24"/>
              </w:rPr>
              <w:t>мкл</w:t>
            </w:r>
            <w:proofErr w:type="spellEnd"/>
            <w:r w:rsidRPr="00F93C8C">
              <w:rPr>
                <w:rFonts w:ascii="Times New Roman" w:hAnsi="Times New Roman" w:cs="Times New Roman"/>
                <w:sz w:val="24"/>
                <w:szCs w:val="24"/>
              </w:rPr>
              <w:t>. Суммарное время инкубации не более 2ч. Коньюгат-1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Срок годности приготовленных реагентов: при наличии коньюгата-2 срок годности при температуре 2-8</w:t>
            </w:r>
            <w:proofErr w:type="gramStart"/>
            <w:r w:rsidRPr="00F93C8C">
              <w:rPr>
                <w:rFonts w:ascii="Times New Roman" w:hAnsi="Times New Roman" w:cs="Times New Roman"/>
                <w:sz w:val="24"/>
                <w:szCs w:val="24"/>
              </w:rPr>
              <w:t>°С</w:t>
            </w:r>
            <w:proofErr w:type="gramEnd"/>
            <w:r w:rsidRPr="00F93C8C">
              <w:rPr>
                <w:rFonts w:ascii="Times New Roman" w:hAnsi="Times New Roman" w:cs="Times New Roman"/>
                <w:sz w:val="24"/>
                <w:szCs w:val="24"/>
              </w:rPr>
              <w:t xml:space="preserve"> не менее 4-х недель; приготовленного раствора субстрата при комнатной температуре 18 – 30° C не менее 6 часов.</w:t>
            </w:r>
          </w:p>
          <w:p w:rsidR="00BF4652" w:rsidRPr="00CB4D91" w:rsidRDefault="00F93C8C" w:rsidP="00F93C8C">
            <w:pPr>
              <w:spacing w:after="0" w:line="240" w:lineRule="auto"/>
              <w:jc w:val="both"/>
              <w:rPr>
                <w:rFonts w:ascii="Times New Roman" w:hAnsi="Times New Roman" w:cs="Times New Roman"/>
                <w:sz w:val="24"/>
                <w:szCs w:val="24"/>
              </w:rPr>
            </w:pPr>
            <w:r w:rsidRPr="00F93C8C">
              <w:rPr>
                <w:rFonts w:ascii="Times New Roman" w:hAnsi="Times New Roman" w:cs="Times New Roman"/>
                <w:sz w:val="24"/>
                <w:szCs w:val="24"/>
              </w:rPr>
              <w:t>•Срок годности реагентов на момент поставки: не менее 9 мес. Наличие инструкции по применению на казахском и русском языках. Наличие регистрации в Республике Казахстан.</w:t>
            </w:r>
          </w:p>
        </w:tc>
      </w:tr>
    </w:tbl>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p>
    <w:p w:rsidR="009A0535" w:rsidRDefault="009A0535" w:rsidP="005E16F7">
      <w:pPr>
        <w:spacing w:after="0" w:line="240" w:lineRule="auto"/>
        <w:jc w:val="right"/>
        <w:rPr>
          <w:rFonts w:ascii="Times New Roman" w:eastAsia="Times New Roman" w:hAnsi="Times New Roman" w:cs="Times New Roman"/>
          <w:color w:val="000000"/>
          <w:sz w:val="24"/>
          <w:szCs w:val="24"/>
          <w:lang w:eastAsia="ru-RU"/>
        </w:rPr>
      </w:pPr>
      <w:bookmarkStart w:id="11" w:name="_GoBack"/>
      <w:bookmarkEnd w:id="11"/>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4"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5"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632516">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632516">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632516">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632516">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7"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8"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632516">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9"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632516">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40"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1"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2"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3"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C1D"/>
    <w:multiLevelType w:val="hybridMultilevel"/>
    <w:tmpl w:val="5D641E92"/>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80D18"/>
    <w:multiLevelType w:val="hybridMultilevel"/>
    <w:tmpl w:val="B27A6532"/>
    <w:lvl w:ilvl="0" w:tplc="0DA8472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5084164D"/>
    <w:multiLevelType w:val="hybridMultilevel"/>
    <w:tmpl w:val="973A1E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D2613"/>
    <w:multiLevelType w:val="hybridMultilevel"/>
    <w:tmpl w:val="EACAD31E"/>
    <w:lvl w:ilvl="0" w:tplc="0DC0E49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80DA3"/>
    <w:rsid w:val="000A0A8A"/>
    <w:rsid w:val="000A3196"/>
    <w:rsid w:val="000B1353"/>
    <w:rsid w:val="000D00F3"/>
    <w:rsid w:val="000E1CC0"/>
    <w:rsid w:val="000E54CA"/>
    <w:rsid w:val="001137E4"/>
    <w:rsid w:val="00157F15"/>
    <w:rsid w:val="001B041E"/>
    <w:rsid w:val="00204106"/>
    <w:rsid w:val="00220B1F"/>
    <w:rsid w:val="00233120"/>
    <w:rsid w:val="0023390B"/>
    <w:rsid w:val="00235649"/>
    <w:rsid w:val="00236CD8"/>
    <w:rsid w:val="002868E5"/>
    <w:rsid w:val="00292B18"/>
    <w:rsid w:val="002A4107"/>
    <w:rsid w:val="002A592A"/>
    <w:rsid w:val="002D18D1"/>
    <w:rsid w:val="002D76BA"/>
    <w:rsid w:val="00342D96"/>
    <w:rsid w:val="00373D7E"/>
    <w:rsid w:val="003907AF"/>
    <w:rsid w:val="003925F0"/>
    <w:rsid w:val="00396411"/>
    <w:rsid w:val="003B50A5"/>
    <w:rsid w:val="003D6F93"/>
    <w:rsid w:val="003F3C5F"/>
    <w:rsid w:val="004211F4"/>
    <w:rsid w:val="00450A47"/>
    <w:rsid w:val="0048329F"/>
    <w:rsid w:val="004A3DB7"/>
    <w:rsid w:val="004B4397"/>
    <w:rsid w:val="004D2FEC"/>
    <w:rsid w:val="004D37F9"/>
    <w:rsid w:val="004F5844"/>
    <w:rsid w:val="004F74DC"/>
    <w:rsid w:val="00530569"/>
    <w:rsid w:val="00530A84"/>
    <w:rsid w:val="005401C9"/>
    <w:rsid w:val="005569F4"/>
    <w:rsid w:val="005A181C"/>
    <w:rsid w:val="005B3045"/>
    <w:rsid w:val="005E16F7"/>
    <w:rsid w:val="00632516"/>
    <w:rsid w:val="006377A5"/>
    <w:rsid w:val="006508F6"/>
    <w:rsid w:val="00674D17"/>
    <w:rsid w:val="006A643A"/>
    <w:rsid w:val="006C1B2C"/>
    <w:rsid w:val="0070369C"/>
    <w:rsid w:val="00715A91"/>
    <w:rsid w:val="00720B9A"/>
    <w:rsid w:val="00721E8C"/>
    <w:rsid w:val="007243DD"/>
    <w:rsid w:val="00777BB9"/>
    <w:rsid w:val="007A1275"/>
    <w:rsid w:val="007E5457"/>
    <w:rsid w:val="00851EBC"/>
    <w:rsid w:val="00857F00"/>
    <w:rsid w:val="00861C6A"/>
    <w:rsid w:val="00865BF3"/>
    <w:rsid w:val="00882357"/>
    <w:rsid w:val="008A1D4A"/>
    <w:rsid w:val="008B724E"/>
    <w:rsid w:val="008C08E5"/>
    <w:rsid w:val="008D2B21"/>
    <w:rsid w:val="008E5F3E"/>
    <w:rsid w:val="00907E64"/>
    <w:rsid w:val="00914818"/>
    <w:rsid w:val="00954632"/>
    <w:rsid w:val="00990802"/>
    <w:rsid w:val="009A0535"/>
    <w:rsid w:val="009C17A7"/>
    <w:rsid w:val="009D4755"/>
    <w:rsid w:val="009D63B3"/>
    <w:rsid w:val="009E2764"/>
    <w:rsid w:val="009F56F2"/>
    <w:rsid w:val="00A24094"/>
    <w:rsid w:val="00A3076C"/>
    <w:rsid w:val="00A41C80"/>
    <w:rsid w:val="00A43133"/>
    <w:rsid w:val="00A51CBA"/>
    <w:rsid w:val="00AF06AF"/>
    <w:rsid w:val="00B21665"/>
    <w:rsid w:val="00B31767"/>
    <w:rsid w:val="00B37309"/>
    <w:rsid w:val="00B46E72"/>
    <w:rsid w:val="00B842C9"/>
    <w:rsid w:val="00BE7285"/>
    <w:rsid w:val="00BF4652"/>
    <w:rsid w:val="00C34AA8"/>
    <w:rsid w:val="00C54539"/>
    <w:rsid w:val="00C635ED"/>
    <w:rsid w:val="00C66869"/>
    <w:rsid w:val="00C75B45"/>
    <w:rsid w:val="00C96379"/>
    <w:rsid w:val="00CB38B6"/>
    <w:rsid w:val="00CB4D91"/>
    <w:rsid w:val="00CB6328"/>
    <w:rsid w:val="00CC679C"/>
    <w:rsid w:val="00CD68AA"/>
    <w:rsid w:val="00CF12D1"/>
    <w:rsid w:val="00D42938"/>
    <w:rsid w:val="00D46DC0"/>
    <w:rsid w:val="00D7716D"/>
    <w:rsid w:val="00DA1222"/>
    <w:rsid w:val="00DC738D"/>
    <w:rsid w:val="00DD5B3F"/>
    <w:rsid w:val="00DE17CC"/>
    <w:rsid w:val="00E201C3"/>
    <w:rsid w:val="00E3700F"/>
    <w:rsid w:val="00E451D3"/>
    <w:rsid w:val="00E513E6"/>
    <w:rsid w:val="00E56D50"/>
    <w:rsid w:val="00E60319"/>
    <w:rsid w:val="00E81AC2"/>
    <w:rsid w:val="00EB2182"/>
    <w:rsid w:val="00EC1382"/>
    <w:rsid w:val="00EE0903"/>
    <w:rsid w:val="00EF1A41"/>
    <w:rsid w:val="00F51607"/>
    <w:rsid w:val="00F851B6"/>
    <w:rsid w:val="00F93C8C"/>
    <w:rsid w:val="00FC6B7A"/>
    <w:rsid w:val="00FD099E"/>
    <w:rsid w:val="00FF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5154042" TargetMode="External"/><Relationship Id="rId3" Type="http://schemas.microsoft.com/office/2007/relationships/stylesWithEffects" Target="stylesWithEffect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5154042"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jl:30153248.3%20" TargetMode="External"/><Relationship Id="rId38" Type="http://schemas.openxmlformats.org/officeDocument/2006/relationships/hyperlink" Target="http://online.zakon.kz/Document/?doc_id=34470636"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K2000000360" TargetMode="External"/><Relationship Id="rId37" Type="http://schemas.openxmlformats.org/officeDocument/2006/relationships/hyperlink" Target="http://online.zakon.kz/Document/?doc_id=35154042" TargetMode="External"/><Relationship Id="rId40" Type="http://schemas.openxmlformats.org/officeDocument/2006/relationships/hyperlink" Target="http://online.zakon.kz/Document/?doc_id=344706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P2100000375"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4470636" TargetMode="External"/><Relationship Id="rId43"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26</Pages>
  <Words>11884</Words>
  <Characters>67744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2022-03-03T03:14:00Z</cp:lastPrinted>
  <dcterms:created xsi:type="dcterms:W3CDTF">2022-01-10T08:44:00Z</dcterms:created>
  <dcterms:modified xsi:type="dcterms:W3CDTF">2022-05-26T04:37:00Z</dcterms:modified>
</cp:coreProperties>
</file>